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D60A1F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09.02.2023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127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6332F0">
        <w:rPr>
          <w:sz w:val="28"/>
          <w:szCs w:val="28"/>
        </w:rPr>
        <w:t xml:space="preserve"> по адресу: Алтайский край, Каменский район, г. Камень-на-Оби, </w:t>
      </w:r>
      <w:r w:rsidR="003F3117">
        <w:rPr>
          <w:sz w:val="28"/>
          <w:szCs w:val="28"/>
        </w:rPr>
        <w:t xml:space="preserve">ул. </w:t>
      </w:r>
      <w:proofErr w:type="gramStart"/>
      <w:r w:rsidR="003F3117">
        <w:rPr>
          <w:sz w:val="28"/>
          <w:szCs w:val="28"/>
        </w:rPr>
        <w:t>Сельскохозяйственная</w:t>
      </w:r>
      <w:proofErr w:type="gramEnd"/>
      <w:r w:rsidR="003F3117">
        <w:rPr>
          <w:sz w:val="28"/>
          <w:szCs w:val="28"/>
        </w:rPr>
        <w:t>,                  д. 15</w:t>
      </w:r>
      <w:r w:rsidR="000706B8">
        <w:rPr>
          <w:sz w:val="28"/>
          <w:szCs w:val="28"/>
        </w:rPr>
        <w:t>Б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6332F0">
        <w:rPr>
          <w:sz w:val="28"/>
          <w:szCs w:val="28"/>
        </w:rPr>
        <w:t>Алтайский край, К</w:t>
      </w:r>
      <w:r w:rsidR="006332F0">
        <w:rPr>
          <w:sz w:val="28"/>
          <w:szCs w:val="28"/>
        </w:rPr>
        <w:t>а</w:t>
      </w:r>
      <w:r w:rsidR="006332F0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6332F0">
        <w:rPr>
          <w:sz w:val="28"/>
          <w:szCs w:val="28"/>
        </w:rPr>
        <w:t xml:space="preserve"> </w:t>
      </w:r>
      <w:r w:rsidR="003F3117">
        <w:rPr>
          <w:sz w:val="28"/>
          <w:szCs w:val="28"/>
        </w:rPr>
        <w:t>ул. Сельскохозяйственная, д. 15</w:t>
      </w:r>
      <w:r w:rsidR="000706B8">
        <w:rPr>
          <w:sz w:val="28"/>
          <w:szCs w:val="28"/>
        </w:rPr>
        <w:t>Б</w:t>
      </w:r>
      <w:r w:rsidR="002E7FC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нии которого собственниками помещений в многоквартирном доме не выбран способ управления таким домом или выбранный способ управления не реал</w:t>
      </w:r>
      <w:r w:rsidR="00BF6E1A" w:rsidRPr="009700DB">
        <w:rPr>
          <w:sz w:val="28"/>
          <w:szCs w:val="28"/>
        </w:rPr>
        <w:t>и</w:t>
      </w:r>
      <w:r w:rsidR="00BF6E1A" w:rsidRPr="009700DB">
        <w:rPr>
          <w:sz w:val="28"/>
          <w:szCs w:val="28"/>
        </w:rPr>
        <w:t>зован, не определена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6334A5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D60A1F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09.02.2023     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127 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482"/>
        <w:gridCol w:w="3717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F311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Сельскохозяйственная, д. 15</w:t>
            </w:r>
            <w:r w:rsidR="000706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0706B8" w:rsidRDefault="000706B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22:68:010206:136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3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0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F311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7163">
              <w:rPr>
                <w:rFonts w:ascii="Times New Roman" w:hAnsi="Times New Roman" w:cs="Times New Roman"/>
                <w:sz w:val="24"/>
                <w:szCs w:val="24"/>
              </w:rPr>
              <w:t>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DE716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всех ж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годными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0706B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611,4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0706B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564,1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0706B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DE716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 площадь других помещений  общего пользования (включая технические этажи, черд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F311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DE7163" w:rsidRDefault="003F311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611DDA" w:rsidRPr="00FA1888">
              <w:rPr>
                <w:sz w:val="24"/>
                <w:szCs w:val="24"/>
              </w:rPr>
              <w:t xml:space="preserve"> </w:t>
            </w:r>
            <w:r w:rsidR="00DE7163">
              <w:rPr>
                <w:sz w:val="24"/>
                <w:szCs w:val="24"/>
              </w:rPr>
              <w:t>шифер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3F3117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DE7163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3F311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дерево, </w:t>
            </w:r>
            <w:r w:rsidR="00261BA7"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3F311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1888">
              <w:rPr>
                <w:sz w:val="24"/>
                <w:szCs w:val="24"/>
              </w:rPr>
              <w:t>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3F311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D60A1F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09.02.2023      </w:t>
      </w:r>
      <w:r w:rsidR="00611DDA">
        <w:rPr>
          <w:sz w:val="28"/>
          <w:szCs w:val="28"/>
        </w:rPr>
        <w:t xml:space="preserve"> </w:t>
      </w:r>
      <w:r w:rsidR="00611DDA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127</w:t>
      </w:r>
      <w:r w:rsidR="00611DDA">
        <w:rPr>
          <w:sz w:val="28"/>
          <w:szCs w:val="28"/>
        </w:rPr>
        <w:t xml:space="preserve"> 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D60A1F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09.02.2023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127 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дом,</w:t>
      </w:r>
      <w:r w:rsidR="002E7FC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2E7FC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88" w:rsidRDefault="00D45888">
      <w:r>
        <w:separator/>
      </w:r>
    </w:p>
  </w:endnote>
  <w:endnote w:type="continuationSeparator" w:id="0">
    <w:p w:rsidR="00D45888" w:rsidRDefault="00D4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88" w:rsidRDefault="00D45888">
      <w:r>
        <w:separator/>
      </w:r>
    </w:p>
  </w:footnote>
  <w:footnote w:type="continuationSeparator" w:id="0">
    <w:p w:rsidR="00D45888" w:rsidRDefault="00D45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BC2C9B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06B8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BA7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7FC2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C6222"/>
    <w:rsid w:val="003E145E"/>
    <w:rsid w:val="003E477B"/>
    <w:rsid w:val="003E77EF"/>
    <w:rsid w:val="003F3117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D7213"/>
    <w:rsid w:val="005F3773"/>
    <w:rsid w:val="005F4F9F"/>
    <w:rsid w:val="00600782"/>
    <w:rsid w:val="006079B7"/>
    <w:rsid w:val="006110E7"/>
    <w:rsid w:val="00611DDA"/>
    <w:rsid w:val="00616849"/>
    <w:rsid w:val="00617EFE"/>
    <w:rsid w:val="00622F43"/>
    <w:rsid w:val="006232EB"/>
    <w:rsid w:val="006242E5"/>
    <w:rsid w:val="00627618"/>
    <w:rsid w:val="006332F0"/>
    <w:rsid w:val="006334A5"/>
    <w:rsid w:val="00633646"/>
    <w:rsid w:val="006422ED"/>
    <w:rsid w:val="00647828"/>
    <w:rsid w:val="00670A7A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1074"/>
    <w:rsid w:val="007E3215"/>
    <w:rsid w:val="007E71C0"/>
    <w:rsid w:val="007F2822"/>
    <w:rsid w:val="00804604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4369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0D06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34664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C2C9B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26FEF"/>
    <w:rsid w:val="00D34470"/>
    <w:rsid w:val="00D36E84"/>
    <w:rsid w:val="00D44FDA"/>
    <w:rsid w:val="00D45888"/>
    <w:rsid w:val="00D54EEA"/>
    <w:rsid w:val="00D54F62"/>
    <w:rsid w:val="00D573C7"/>
    <w:rsid w:val="00D60A1F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E7163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B03"/>
    <w:rsid w:val="00E37FC9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A7EA6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6025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7DCA"/>
    <w:rsid w:val="00FE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FA4A-6C36-4739-ABBE-2C2EA3ED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2023-02-06T06:50:00Z</cp:lastPrinted>
  <dcterms:created xsi:type="dcterms:W3CDTF">2023-02-10T01:20:00Z</dcterms:created>
  <dcterms:modified xsi:type="dcterms:W3CDTF">2023-02-10T01:20:00Z</dcterms:modified>
</cp:coreProperties>
</file>