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511A" w:rsidRDefault="0074511A">
      <w:pPr>
        <w:spacing w:line="276" w:lineRule="auto"/>
        <w:divId w:val="1537622445"/>
      </w:pPr>
    </w:p>
    <w:tbl>
      <w:tblPr>
        <w:tblW w:w="5000" w:type="pct"/>
        <w:tblCellSpacing w:w="0" w:type="dxa"/>
        <w:tblCellMar>
          <w:left w:w="0" w:type="dxa"/>
          <w:right w:w="0" w:type="dxa"/>
        </w:tblCellMar>
        <w:tblLook w:val="04A0"/>
      </w:tblPr>
      <w:tblGrid>
        <w:gridCol w:w="9355"/>
      </w:tblGrid>
      <w:tr w:rsidR="0074511A">
        <w:trPr>
          <w:divId w:val="1537622445"/>
          <w:tblCellSpacing w:w="0" w:type="dxa"/>
        </w:trPr>
        <w:tc>
          <w:tcPr>
            <w:tcW w:w="0" w:type="auto"/>
            <w:vAlign w:val="center"/>
            <w:hideMark/>
          </w:tcPr>
          <w:p w:rsidR="0074511A" w:rsidRDefault="0074511A">
            <w:pPr>
              <w:spacing w:line="276" w:lineRule="auto"/>
              <w:jc w:val="center"/>
              <w:rPr>
                <w:b/>
                <w:bCs/>
                <w:sz w:val="28"/>
                <w:szCs w:val="28"/>
              </w:rPr>
            </w:pPr>
            <w:r>
              <w:rPr>
                <w:b/>
                <w:bCs/>
                <w:sz w:val="28"/>
                <w:szCs w:val="28"/>
              </w:rPr>
              <w:t>Информация о социально-экономическом развитии</w:t>
            </w:r>
          </w:p>
        </w:tc>
      </w:tr>
      <w:tr w:rsidR="0074511A">
        <w:trPr>
          <w:divId w:val="1537622445"/>
          <w:tblCellSpacing w:w="0" w:type="dxa"/>
        </w:trPr>
        <w:tc>
          <w:tcPr>
            <w:tcW w:w="0" w:type="auto"/>
            <w:tcBorders>
              <w:bottom w:val="single" w:sz="8" w:space="0" w:color="000000"/>
            </w:tcBorders>
            <w:vAlign w:val="center"/>
            <w:hideMark/>
          </w:tcPr>
          <w:p w:rsidR="0074511A" w:rsidRDefault="001F1010">
            <w:pPr>
              <w:spacing w:line="276" w:lineRule="auto"/>
              <w:jc w:val="center"/>
              <w:rPr>
                <w:sz w:val="28"/>
                <w:szCs w:val="28"/>
              </w:rPr>
            </w:pPr>
            <w:r>
              <w:rPr>
                <w:b/>
                <w:bCs/>
                <w:sz w:val="28"/>
                <w:szCs w:val="28"/>
              </w:rPr>
              <w:t>Каменского района</w:t>
            </w:r>
            <w:r w:rsidR="000D3D3D">
              <w:rPr>
                <w:b/>
                <w:bCs/>
                <w:sz w:val="28"/>
                <w:szCs w:val="28"/>
                <w:lang w:val="en-US"/>
              </w:rPr>
              <w:t xml:space="preserve"> </w:t>
            </w:r>
            <w:r w:rsidR="0074511A">
              <w:rPr>
                <w:b/>
                <w:bCs/>
                <w:sz w:val="28"/>
                <w:szCs w:val="28"/>
              </w:rPr>
              <w:t xml:space="preserve">в </w:t>
            </w:r>
            <w:r>
              <w:rPr>
                <w:b/>
                <w:bCs/>
                <w:sz w:val="28"/>
                <w:szCs w:val="28"/>
                <w:lang w:val="en-US"/>
              </w:rPr>
              <w:t>2022</w:t>
            </w:r>
            <w:r w:rsidR="0074511A">
              <w:rPr>
                <w:b/>
                <w:bCs/>
                <w:sz w:val="28"/>
                <w:szCs w:val="28"/>
              </w:rPr>
              <w:t xml:space="preserve"> году.</w:t>
            </w:r>
          </w:p>
        </w:tc>
      </w:tr>
      <w:tr w:rsidR="0074511A">
        <w:trPr>
          <w:divId w:val="1537622445"/>
          <w:tblCellSpacing w:w="0" w:type="dxa"/>
        </w:trPr>
        <w:tc>
          <w:tcPr>
            <w:tcW w:w="0" w:type="auto"/>
            <w:vAlign w:val="center"/>
            <w:hideMark/>
          </w:tcPr>
          <w:p w:rsidR="0074511A" w:rsidRDefault="0074511A">
            <w:pPr>
              <w:pStyle w:val="1"/>
              <w:spacing w:line="276" w:lineRule="auto"/>
              <w:jc w:val="center"/>
              <w:rPr>
                <w:sz w:val="22"/>
                <w:szCs w:val="22"/>
              </w:rPr>
            </w:pPr>
            <w:r w:rsidRPr="00D47142">
              <w:rPr>
                <w:sz w:val="22"/>
                <w:szCs w:val="22"/>
              </w:rPr>
              <w:t>(официальное наименование городского округа (муниципального района)</w:t>
            </w:r>
          </w:p>
        </w:tc>
      </w:tr>
    </w:tbl>
    <w:p w:rsidR="0074511A" w:rsidRDefault="0074511A">
      <w:pPr>
        <w:spacing w:after="240" w:line="276" w:lineRule="auto"/>
        <w:divId w:val="1537622445"/>
      </w:pPr>
      <w:r>
        <w:br/>
      </w:r>
      <w:r>
        <w:br/>
      </w:r>
    </w:p>
    <w:p w:rsidR="0074511A" w:rsidRDefault="0074511A" w:rsidP="008E0719">
      <w:pPr>
        <w:spacing w:before="240" w:after="240" w:line="276" w:lineRule="auto"/>
        <w:jc w:val="center"/>
        <w:divId w:val="223301121"/>
      </w:pPr>
      <w:r>
        <w:rPr>
          <w:rStyle w:val="a3"/>
          <w:sz w:val="28"/>
          <w:szCs w:val="28"/>
        </w:rPr>
        <w:t xml:space="preserve">Промышленное производство </w:t>
      </w:r>
    </w:p>
    <w:p w:rsidR="0074511A" w:rsidRPr="001F1010" w:rsidRDefault="001F1010" w:rsidP="001F1010">
      <w:pPr>
        <w:spacing w:line="276" w:lineRule="auto"/>
        <w:jc w:val="both"/>
        <w:divId w:val="223301121"/>
      </w:pPr>
      <w:r w:rsidRPr="001F1010">
        <w:t>Оборот крупных и средних организаций за  2022 года составил 3960,5  млн. рублей. Основной удельный вес оборота крупных и средних предприятий приходится на обрабатывающие производства, это производство пищевых продуктов, обработка древесины и др. Рост оборота крупных и средних организаций на конец года по прогнозу составит 150% к уровню 2018 года. (3103 млн. руб. в 2018 год). Индекс промышленного производства по итогам  2022 года составил 99 %.Среднесписочная численность работников крупных и средних организаций по району составляет 7531 человек, что меньше по сравнению с 2018 годом на 501 человека или  6,3 %.Среднемесячная начисленная заработная плата по крупным и средним  организациям составит 32495,2 рублей и увеличится к уровню 2021 года  на 10,5%.  В номинальном выражении уровень заработной платы работников крупных и средних организаций с 2018 по 2021  годы вырос на 29%, прирост в денежном выражении – 6903 рубля.</w:t>
      </w:r>
    </w:p>
    <w:p w:rsidR="0074511A" w:rsidRDefault="0074511A" w:rsidP="008E0719">
      <w:pPr>
        <w:spacing w:before="240" w:after="240" w:line="276" w:lineRule="auto"/>
        <w:jc w:val="center"/>
        <w:divId w:val="1450320109"/>
      </w:pPr>
      <w:r>
        <w:rPr>
          <w:rStyle w:val="a3"/>
          <w:sz w:val="28"/>
          <w:szCs w:val="28"/>
        </w:rPr>
        <w:t xml:space="preserve">Сельскохозяйственное производство </w:t>
      </w:r>
    </w:p>
    <w:p w:rsidR="0074511A" w:rsidRPr="008E0719" w:rsidRDefault="00954C8F" w:rsidP="001F1010">
      <w:pPr>
        <w:spacing w:line="276" w:lineRule="auto"/>
        <w:jc w:val="both"/>
        <w:divId w:val="1450320109"/>
      </w:pPr>
      <w:r w:rsidRPr="008E0719">
        <w:t xml:space="preserve">Агропромышленный комплекс является важнейшей отраслью экономики района, оно во многом влияет на её состояние и темпы развития. Поэтому решение вопроса местного значения по созданию условий для развития сельскохозяйственного производства является для района приоритетным.Сельскохозяйственным производством в Каменском районе занимаются 63 сельскохозяйственных предприятия, из которых 45 - крестьянские (фермерские) хозяйства. В течение 2021 года на сельхозпредприятиях было занято 1071 человек.Общая площадь сельскохозяйственных угодий района- 245 787 га, из них пашни- 158 110 га.Одной из главных отраслей агропромышленного комплекса Каменского района является - растениеводство.Общая посевная площадь в 2022 году составила 132 659 га в том, числе: под зерновыми и зернобобовыми-89 236 га, под техническими культурами-33 952 га и 9 341 га было занято кормовыми культурами, 130 га-картофель и овощи открытого грунта.По итогам 2022 года основной возделываемой культурой являлась пшеница - собрано 126342,5 тонн  при урожайности 21,6 ц/га, озимой ржи –  3002 тонны, гречихи – 12018,7 тонн, подсолнечника –53352,3 тонн. Всего же зерновых и зернобобовых намолочено 186367,1 тонн. Средняя урожайность зерновых и зернобобовых по Каменскому району в 2022 году составила 21,2 ц/га.Данная ситуация по валовому сбору и урожайности сложилась в 2022 году в результате благоприятных погодных условий.Хозяйства-лидеры по урожайности зерновых и зернобобовых (с учетом озимых) в 2022 году:ООО «Рыбинское» - 35,6 ц/гаООО КХ «Зайцев» - 28,2 ц/гаИП Глава КФХ Куксов Д.В.- 24,7 ц/гаТак же имеются хозяйства,  которые </w:t>
      </w:r>
      <w:r w:rsidRPr="008E0719">
        <w:lastRenderedPageBreak/>
        <w:t>получили менее 10 ц/га; ИП глава КФХ Трабаев Р.М., ИП глава КФХ Жданов С.И., ИП глава КФХ Черненко С.М..  Но это мелкие хозяйства, не применяющие прогрессивные технологии растениеводства.Растениеводство – это всегда риск, ведь он напрямую зависит от многих,  факторов, например таких, как погода или внесение минеральных и органических удобрений.С другой стороны у сельского хозяйства – огромные перспективы. Спрос на продукцию растениеводства постоянно растет. Именно поэтому важно не только вырастить урожай, но и убрать его с наименьшими потерями.  Новая техника способствует активному применению современных энергоресурсосберегающих технологий, а так же  создает современные условия труда работников отрасли растениеводства. Всего новой техники было приобретено на общую сумму  в 196 миллионов рублей. Это на 15 миллионов больше, чем в 2021 году.Животноводство района представлено молочным скотоводством. Общее количество хозяйств всех категорий, занимающихся животноводством в Каменском районе составило 3247 хозяйств, из них сельхозорганизаций – 3, крестьянских (фермерских) хозяйств – 9, ЛПХ – 3235.По итогам 2022 года поголовье сельскохозяйственных животных во всех категориях хозяйств составило: крупный рогатый скот – 6326 голов (снижение по сравнению с 2021 годом составило 1399 голов), в том числе коров – 2 570 головы (меньше 450 голов, чем в 2021 году),  свиней – 2 306 голов (1291 гол.), овец – 3682 головы (больше на 127 голов, чем в 2021 году), птицы – 172756 голов. Тенденция снижения поголовья животных связана со значительным удорожанием кормов, проведением мероприятий по ликвидации лейкоза и с введением ряда ограничительных мер (запрет подворового забоя и пр.).Производство продукции животноводства во всех категориях хозяйств в Каменском районе за 2022 год составило: молока 10450 тонн, скота и птицы на убой составило 2663 тонны. За 2022 год закуплено в ЛПХ молока 6420 тонн, мяса в живом весе 723 тонны. Среднесуточный привес в организациях, занимающихся молочным животноводством, в  2022 году составил 457 граммов. Надой молока на 1 фуражную корову за 2022 год составил -3000 кг.Наилучших результатов добились такие хозяйства, как ИПГКФХ Трабаев Р.М.-3276 кг на 1 голову, ИПГКФХ Генш А.А.-3700 кг, ИПГКФХ Объедков А.С.-4131 кг.3 предприятия района занимаются мясным скотоводством. Общее стадо мясного направления за 2022 год составило 458 голов. Среднесуточный привес  КРС по району составил 567 граммов.Производством куриного яйца (инкубационного) в промышленных масштабах на территории района занимается ООО «Каменская птицефабрика», с начала 2022 год его производство составило 22431 тыс. штук, что на 8 % больше по сравнению с 2021 годом. Объем производства яйца в частных хозяйствах составил 3521 шт.Доля животноводческой продукции в общем объеме произведенной сельскохозяйственной продукции района в 2022 году составила 10%, рентабельность производства на уровне 5%.Объем государственной поддержки сельхозтоваропроизводителей Каменского района в рамках государственной программы в 2022 году  составил 15 млн. руб., основная доля которого была направлена на оказание поддержки в области растениеводства (98 %). </w:t>
      </w:r>
    </w:p>
    <w:p w:rsidR="0074511A" w:rsidRDefault="0074511A" w:rsidP="008E0719">
      <w:pPr>
        <w:spacing w:before="240" w:after="240" w:line="276" w:lineRule="auto"/>
        <w:jc w:val="center"/>
        <w:divId w:val="1006633197"/>
      </w:pPr>
      <w:r>
        <w:rPr>
          <w:rStyle w:val="a3"/>
          <w:sz w:val="28"/>
          <w:szCs w:val="28"/>
        </w:rPr>
        <w:t xml:space="preserve">Реализация инвестиционных проектов на территории муниципального района </w:t>
      </w:r>
    </w:p>
    <w:p w:rsidR="0074511A" w:rsidRPr="008E0719" w:rsidRDefault="00954C8F" w:rsidP="001F1010">
      <w:pPr>
        <w:spacing w:line="276" w:lineRule="auto"/>
        <w:jc w:val="both"/>
        <w:divId w:val="1006633197"/>
      </w:pPr>
      <w:r w:rsidRPr="00954C8F">
        <w:lastRenderedPageBreak/>
        <w:t>По состоянию на 01.10.2022 года объем инвестиций в основной капитал за счет всех источников финансирования составил  22409 млн.  рублей (54,3 % уровню предыдущего года), в том числе по крупным и средним организациям 179,09 млн. рублей (53,4 % уровню предыдущего года).Проект поддержки местных инициатив (ППМИ) является наиболее распространенной практикой инициативного бюджетирования в России. Данная форма участия  жителей в решении вопросов местного значения посредством определения и выбора направлений расходования бюджетных средств. Главной его целью является вовлечение граждан в решениевопросов местного значения, в развитие общественной инфраструктуры своеймалой родины. В рамках данной программы в 2022 году реализовано восемь проектов:         в селе Гонохово, проведен ремонт стадиона;         в селе Обское, создан Обелиск в честь погибших односельчан в годы Великой Отечественной войны 1941-1945 гг.;         в посёлке Мыски проведен монтаж уличного освещения по ул.Каменская, ул. Садовая, ул. Социалистическая;         в селе Столбово обустроена детская площадка;         в селе Дресвянка и пос. Филипповский  отремонтирован участок дороги;         в  г. Камень-на- Оби обустроена спортивная площадка по ул. Радостная, 46 иобустройство детской площадки по ул. Урожайная, 27а.Общая стоимость проектов, реализованных в 2022 году: 8862,7 тыс. рублей.В 2023 году для участия в данной программе было подано тринадцать заявок и тринадцать приняты к участию. Общая стоимость запланированных проектов порядка 16 млн. рублей.</w:t>
      </w:r>
    </w:p>
    <w:p w:rsidR="0074511A" w:rsidRDefault="0074511A" w:rsidP="008E0719">
      <w:pPr>
        <w:spacing w:before="240" w:after="240" w:line="276" w:lineRule="auto"/>
        <w:jc w:val="center"/>
        <w:divId w:val="672149918"/>
      </w:pPr>
      <w:r>
        <w:rPr>
          <w:rStyle w:val="a3"/>
          <w:sz w:val="28"/>
          <w:szCs w:val="28"/>
        </w:rPr>
        <w:t xml:space="preserve">Состояние малого и среднего предпринимательства, меры государственной поддержки малого и среднего предпринимательства </w:t>
      </w:r>
    </w:p>
    <w:p w:rsidR="0074511A" w:rsidRPr="001F1010" w:rsidRDefault="001F1010" w:rsidP="001F1010">
      <w:pPr>
        <w:spacing w:line="276" w:lineRule="auto"/>
        <w:jc w:val="both"/>
        <w:divId w:val="672149918"/>
      </w:pPr>
      <w:r w:rsidRPr="001F1010">
        <w:t xml:space="preserve">Торговля является наиболее динамично развивающейся отраслью экономики района. Оборот крупных и средних объектов торговли в 2022 году составил 3959,4 млн. руб., темп роста розничной торговли  – 112,3%.В районе:  47 – продовольственных магазинов, 180  –  не продовольственных, 131 – смешанных. Общая площадь магазинов – 54887,34 кв.м. Количество нестационарных торговых объектов  - 66. Сеть общественного питания включает 29 объектов на 1163 посадочных места.Объектов бытового обслуживания – 229 единиц. В районе организована постоянно действующая универсальная ярмарка на 147 мест. Действует крытый розничный рынок.По состоянию на 1 января 2023 года на территории Каменского района Алтайского края осуществляли свою деятельность 159 малых предприятия, 1 среднее предприятие, 837 индивидуальных предпринимателей, включая крестьянские (фермерские) хозяйства.  1339 гражданин осуществляют предпринимательскую деятельность в статусе «самозанятых».         Всего в сфере предпринимательства занято более 4 тысяч человек, что составляет около 30 % от занятых в экономике района. Основная часть занятых в предпринимательстве трудится в сфере перерабатывающей промышленности, сельского хозяйства, розничной торговли, а также в строительстве, бытовых и транспортных услугах, общественном питании.Поддержка предпринимательства – одна из долгосрочных стратегических задач муниципального образования, решение которой должно привести к формированию комфортных условий для ведения бизнеса, устранению административных барьеров, развитию конкурентной среды.При Администрации района более тринадцати лет действует информационно-консультационный центр поддержки предпринимательства. Основной  целью его </w:t>
      </w:r>
      <w:r w:rsidRPr="001F1010">
        <w:lastRenderedPageBreak/>
        <w:t>деятельности является повышение информированности субъектов малого и среднего предпринимательства о формах государственной поддержки, а также предоставление гарантированного перечня консультационных услуг по вопросам, касающимся деятельности субъектов предпринимательства на различных этапах развития.Более девяти лет действует филиал Алтайского фонда микрозаймов, за 2022 год его услугами воспользовались 26 субъектов предпринимательства, с общей суммой микрозаймов – 51 млн. руб. Удобное расположение филиала, оперативность работы и квалификация  специалиста, простота в получение микрозаймов сделало данную форму поддержки очень популярной среди субъектов предпринимательства. Положительно отразилось на востребованости услуг фонда увеличение срока кредитования до 3 лет и увеличение максимального размера займа до 5 млн. руб. (данные условия действуют для инвестиционных проектов).В целях развития предпринимательства в районе действует муниципальная программа «Развитие и поддержка малого и среднего предпринимательства в Каменском районе».Администрацией района в рамках реализации данной программы, в целях привлечения предпринимательского сообщества к благоустройству населенных пунктов, повышению заинтересованности субъектов предпринимательства в общерайонных мероприятиях проводятся смотры-конкурсы. В 2022 году на проведение данных конкурсов было затрачено 45,0 тыс. рублей, денежные средства направлены на премирование победителей конкурса, приобретение памятных подарков.Также в рамках реализации данной программы проходило чествование представителей предпринимательского сообщества, приуроченное к Дню российского предпринимательства (26 мая), на эти цели было направлено  5,0 тыс. рублей. Денежные средства были израсходованы на приобретение цветов, бланков благодарностей и украшение зала.Полноценному взаимодействую между Администрацией района и местным предпринимательским сообществом способствует работа Общественного совета по развитию малого и среднего предпринимательства при главе Каменского района.</w:t>
      </w:r>
    </w:p>
    <w:p w:rsidR="0074511A" w:rsidRDefault="0074511A" w:rsidP="008E0719">
      <w:pPr>
        <w:spacing w:before="240" w:after="240" w:line="276" w:lineRule="auto"/>
        <w:jc w:val="center"/>
        <w:divId w:val="1356543834"/>
      </w:pPr>
      <w:r>
        <w:rPr>
          <w:rStyle w:val="a3"/>
          <w:sz w:val="28"/>
          <w:szCs w:val="28"/>
        </w:rPr>
        <w:t xml:space="preserve">Ситуация на рынке труда </w:t>
      </w:r>
    </w:p>
    <w:p w:rsidR="0074511A" w:rsidRPr="008E0719" w:rsidRDefault="00954C8F" w:rsidP="001F1010">
      <w:pPr>
        <w:spacing w:line="276" w:lineRule="auto"/>
        <w:jc w:val="both"/>
        <w:divId w:val="1356543834"/>
      </w:pPr>
      <w:r w:rsidRPr="008E0719">
        <w:t xml:space="preserve">В состав Каменского района входит 13 сельских и одно городское поселение, включающее в себя 34 населенных пункта. Среднегодовая численность населения муниципального образования Каменский район составила 49224 человека или 98,52% к уровню 2021г. Число умерших в 2022 году превысило число родившихся на 436 человек,сохраняется тенденция естественной убыли населения.Превышение смертности над рождаемостью обусловлено большой долей населения пенсионного возраста, увеличивающейся с каждым годом, а также сложной эпидемиологической обстановкой.В целях улучшения качества жизни, снижения смертности населения разработаны и действуют муниципальные программы «Развитие общественного здоровья в Каменском районе» и «Улучшение качества жизни граждан пожилого возраста и инвалидов в Каменском районе Алтайского края», которые включают в себя основные направления деятельности в сфере демографической политики.  Для улучшения демографической ситуации, решена проблема обеспечения местами в детских садах детей от трёх до семи лет. Ведется планомерная разработка проектно сметной документации по строительству диагностического центра на территории города. Кроме того, в рамках сохранения и укрепления здоровья населения оказывается </w:t>
      </w:r>
      <w:r w:rsidRPr="008E0719">
        <w:lastRenderedPageBreak/>
        <w:t>содействие проведению профилактических осмотров и диспансеризации взрослого населения. В 2022 году численность граждан, прошедших профилактические осмотры, составила 24 670 человек, это 102% к уровню 2021 года. Уровень безработицы на начало текущего года составил 1,4%. Численность граждан, признанных безработными и стоящими на учете в центре занятости на 31 декабря 2022 года составила 373 человека. В целом по району напряженность на официальном рынке труда на конец года составил 5,7 на одно вакантное место.</w:t>
      </w:r>
    </w:p>
    <w:p w:rsidR="0074511A" w:rsidRDefault="0074511A" w:rsidP="008E0719">
      <w:pPr>
        <w:spacing w:before="240" w:after="240" w:line="276" w:lineRule="auto"/>
        <w:jc w:val="center"/>
        <w:divId w:val="1611469857"/>
      </w:pPr>
      <w:r>
        <w:rPr>
          <w:rStyle w:val="a3"/>
          <w:sz w:val="28"/>
          <w:szCs w:val="28"/>
        </w:rPr>
        <w:t xml:space="preserve">Уровень жизни населения </w:t>
      </w:r>
    </w:p>
    <w:p w:rsidR="0074511A" w:rsidRPr="001F1010" w:rsidRDefault="001F1010" w:rsidP="001F1010">
      <w:pPr>
        <w:spacing w:line="276" w:lineRule="auto"/>
        <w:jc w:val="both"/>
        <w:divId w:val="1611469857"/>
      </w:pPr>
      <w:r w:rsidRPr="001F1010">
        <w:t>Деятельность в социальной сфере является одним из главных приоритетов по обеспечению высокого уровня и качества жизни населения Каменского района.</w:t>
      </w:r>
    </w:p>
    <w:p w:rsidR="0074511A" w:rsidRDefault="0074511A" w:rsidP="008E0719">
      <w:pPr>
        <w:spacing w:before="240" w:after="240" w:line="276" w:lineRule="auto"/>
        <w:jc w:val="center"/>
        <w:divId w:val="1437944105"/>
      </w:pPr>
      <w:r>
        <w:rPr>
          <w:rStyle w:val="a3"/>
          <w:sz w:val="28"/>
          <w:szCs w:val="28"/>
        </w:rPr>
        <w:t xml:space="preserve">Состояние местных бюджетов </w:t>
      </w:r>
    </w:p>
    <w:p w:rsidR="0074511A" w:rsidRPr="008E0719" w:rsidRDefault="00954C8F" w:rsidP="001F1010">
      <w:pPr>
        <w:spacing w:line="276" w:lineRule="auto"/>
        <w:jc w:val="both"/>
        <w:divId w:val="1437944105"/>
      </w:pPr>
      <w:r w:rsidRPr="008E0719">
        <w:t xml:space="preserve">Главным инструментом проведения социальной, финансовой и инвестиционной политики на территории муниципального района является консолидированный бюджет района.Согласно уточненному годовому плану объем доходов составил 1 312 661 тыс. рублей. Исполнение консолидированного бюджета по доходам составило 1 287 789 тыс. рублей или 98,1% от уточненного плана.В общем объеме фактически поступивших доходов консолидированного бюджета Каменского района Алтайского края доля налоговых и неналоговых доходов составляет 32,8 % или 422 221,8 тыс. рублей, доля безвозмездных поступлений составляет 67,2 % или 865 567,1 тыс. рублей при плане 907 746,4 тыс. рублей.За 2022 год налоговых и неналоговых доходов поступило 422  221 784,43 рубля при уточненном плане 404 915 050,00 рублей или 104,3 %Исполнение консолидированного бюджета по налоговым доходам составляет 382 778 508,97 рублей при плане 367 734 000,00 рублей или 104,1 %, удельный вес в объеме налоговых и неналоговых доходов составляет 90,7 %, по неналоговым доходам исполнение составляет 39 443 275,46 рублей, при плане 37 181 050,00 рублей или 106,1 %, удельный вес составляет 9,3 %.Без учета доходов от продажи имущества, платных услуг и акцизов объем собственных доходов составил 408 369 926,55 рублей, что выше плановых показателей на 15 951 876,55 рублей или 104,1 %.Наибольший удельный вес в структуре налоговых и неналоговых доходов консолидированного бюджета составляют поступления от налога на доходы физических лиц 64,8 %, налогов на совокупный доход 14,3 %, имущественных налогов 8,6 %, доходов от использования имущества 6,7 %, акцизов на нефтепродукты 1,8 %, госпошлины 1,3 %.Объем поступлений налоговых и неналоговых доходов за отчетный год увеличился на 36 168 182,01 рубля к уровню прошлого года или 109,4 %: в т. ч. налоговые доходы увеличились на 31 169 844,97 рубля и составили 108,9 %, неналоговые доходы увеличились на 4 998 337,04 рублей и составили 114,5 %.В рамках проведения мероприятий по увеличению доходной части бюджета проводится работа по расширению количества объектов, предоставляемых в аренду.В 2022 году комиссия по ликвидации задолженности по платежам в бюджет, созданная в целях решения проблем неплатежей, гашения недоимки и пополнения доходной части бюджета, продолжала свою работу. В связи со сложившейся собираемостью, исполнением плановых показателей, а также динамикой поступлений особое внимание уделялось </w:t>
      </w:r>
      <w:r w:rsidRPr="008E0719">
        <w:lastRenderedPageBreak/>
        <w:t>вопросам задолженности по имущественным налогам. На особом контроле находились вопросы оплаты задолженности сотрудников Администрации и подведомственных учреждений.Кроме этого, по данным, предоставленным налоговыми органами, проводилась индивидуальная работа с лицами, имеющими задолженность, направленная на урегулирование состояний расчетов с бюджетом.В свою очередь администраторы доходов, в том числе налоговые органы, проводят мероприятия по взысканию задолженности, предусмотренные законодательством.Работа с руководителями организаций и индивидуальными предпринимателями, у которых заработная плата работников ниже прожиточного минимума, проводится на постоянной основе.Постоянно проводится мониторинг поступлений доходов по данным местного учета в разрезе плательщиков, в том числе сельхоз товаропроизводителей и других лиц, получающих финансовую поддержку из федерального и краевого бюджетов. По результатам мониторинга выявляются плательщики, допустившие снижение оплаты платежей к уровню прошлого года. Далее осуществляется индивидуальная работа с плательщиками по решению возникающих вопросов. Рост налога на доходы физических лиц по ряду учреждений в 2022 году связан с увеличением минимального размер оплаты труда.Особенно заметен рост поступлений налога от организаций бюджетной сферы. К тому же, рост налога по ряду учреждений связан с доведением показателей заработной платы до уровня средней заработной платы в регионе, в соответствии с Указами Президента. На положительную динамику поступлений по муниципальным учреждениям образования также оказало влияние функционирование нового корпуса МБДОУ «Детский сад № 8 Умка» весь период и появление выплат советникам директоров.Рост поступлений по налогам на совокупный доход связан с отменой ЕНВД, регистрацией новых плательщиков, погашением задолженности прошлых лет, ростом объемов деятельности, а также оплатой авансовых платежей в различные налоговые периоды/ Финансирование главных распорядителей бюджетных средств в течение года осуществлялось в соответствии с уточненной сводной бюджетной росписью.Расходная часть консолидированного бюджета Каменского района в 2022 году осталось социально направленной, на содержание и функционирования отраслей социальной сферы направлено 896901,9 тыс. рублей или 69,6%           В отчетном году направлено на оплату труда, с начислениями работникам бюджетной сферы и органов местного самоуправления 693693,3 тыс. рублей, Удельный вес расходов на оплату труда с начислениями в общем объеме расходов составил 53,9%           Просроченная кредиторская задолженность по состоянию на 01.01.2023 года имеется только в городском поселении и составляет 326 981,9 тыс.рублей в том числе:           1121,8 тыс. рублей по казенным учреждениям;           325860,1 тыс. рублей по принятым обязательствам (за предприятия жилищно-коммунального хозяйства).           В просроченной кредиторской задолженности долгосрочная задолженность по заключенным соглашениям с Министерством строительства и жилищно-коммунального хозяйства «О консолидации и реструктуризации задолженности за полученный из резервного запаса уголь» на сумму 148 157,3 тыс. рублей.      Расходы за счет резервного фонда в 2022 году не осуществлялись. </w:t>
      </w:r>
    </w:p>
    <w:p w:rsidR="0074511A" w:rsidRDefault="0074511A" w:rsidP="008E0719">
      <w:pPr>
        <w:spacing w:before="240" w:after="240" w:line="276" w:lineRule="auto"/>
        <w:jc w:val="center"/>
        <w:divId w:val="1904366202"/>
      </w:pPr>
      <w:r>
        <w:rPr>
          <w:rStyle w:val="a3"/>
          <w:sz w:val="28"/>
          <w:szCs w:val="28"/>
        </w:rPr>
        <w:t xml:space="preserve">Жилищно-коммунальное хозяйство </w:t>
      </w:r>
    </w:p>
    <w:p w:rsidR="0074511A" w:rsidRPr="001F1010" w:rsidRDefault="001F1010" w:rsidP="001F1010">
      <w:pPr>
        <w:spacing w:line="276" w:lineRule="auto"/>
        <w:jc w:val="both"/>
        <w:divId w:val="1904366202"/>
        <w:rPr>
          <w:lang w:val="en-US"/>
        </w:rPr>
      </w:pPr>
      <w:r>
        <w:rPr>
          <w:lang w:val="en-US"/>
        </w:rPr>
        <w:lastRenderedPageBreak/>
        <w:t xml:space="preserve">Устойчивое социально-экономическое развитие и создание комфортных условий проживания населения неразрывно связано с жилищно-коммунальным хозяйством. Основными проблемами ЖКХ остаются высокий процент износа жилого фонда и  городских сетей водоснабжения, водоотведения и теплоснабжения, а также состояние автомобильных дорог.Многоквартирные дома, признанные в установленном порядке аварийными и подлежащими сносу до 01.01.2017 полностью расселены в 2021 году. В 2022- 2023 годах муниципальное образование  в краевой программе по переселению граждан не участвует. В рамках реализации мероприятий муниципальной программы «Переселение граждан из аварийного жилищного фонда» расселен 1 жилой дом (1 семья) - приобретено 1 жилое помещение на сумму 1,3 млн. руб.В 2022 году получили жилые помещения и улучшили свои жилищные условия – 4 семьи, в том числе 1 молодая семья, 1 отнесенная к категории инвалидов, две семьи заключили договора социального найма – 2.Жилые помещения специализированного жилого фонда на период трудовых отношений были предоставлены  3 семьям.         Всего состоящих на учете на конец 2022 года - 1667 семей (4742 человека).В Каменском районе реализуется краевая программа «Капитальный ремонт общего имущества многоквартирных домов». В 2022 году по данной программе проведен ремонт общего имущества семи многоквартирных домов. На трех произведено переустройство невентилируемой крыши на вентилируемую, на остальных проведен капитальный ремонт крыши.Немаловажной задачей является выполнение мероприятий регионального проекта Алтайского края «Формирование комфортной городской среды».По данной программе в 2022 году было благоустроено две зоны отдыха:благоустройство парка Победы по ул. Пушкина;обустройству спортивной площадки по ул. Терешковой.Общая стоимость реализованных проектов составляет 13 373,4 тыс. рублей, в том  числе 12 870 тыс. руб. средства федерального бюджета, 130 тыс. руб. средства краевого бюджета и 373,4 тыс. руб. – городского бюджета.Еще одной из наиболее характерных проблем района является состояние дорожной сети, это связано с близостью грунтовых вод, заболоченностью, а также интенсивным ростом автомобильного парка, увеличением грузопотока большегрузных перевозок.По муниципальной программе «Комплексное развитие систем транспортной инфраструктуры муниципального образования город Камень-на-Оби Каменского района Алтайского края» на дорожную деятельность было использовано 15 879,2 тыс. рублей, из них:выполнены работы по ремонту улично-дорожной сети ул. Гагарина (480 м. – 5702,2 тыс. рублей, из них: 5362 тыс. рублей – краевой бюджет, 340,2 тыс. рублей – местный бюджет);текущий (ямочный) ремонт: на 3850 тыс. рублей из местного бюджета выполнены работы на территории г. Камень-на-Оби: ул. Пушкина, Колесникова, К. Маркса, Крылова, Жуковского, Терешковой, Радостная, Гагарина, Д.Бедного, 2-й жд переезд общей площадью более 2800 кв.м.6327 тыс. рублей из городского бюджета использованы на текущее содержание улично-дорожной сети на территории г. Камень-на-Оби, в том числе зимнее содержание. В рамках данных мероприятий производились подсыпка мест провалов и выбоин на проезжих частях улиц, спил разросшихся кустарников, ограничивающих видимость при движении транспорта, в том числе на тротуарах, работы по срезу обочин и расширению проезжих частей с целью сохранения ширины полосы движения в период расчистки снежной массы и др.В 2022 году в рамках муниципальной программы благоустройства территории г. Камень-на-Оби Комитетом по ЖКХ приобретены 150 консольных LED светильников уличного освещения, а также </w:t>
      </w:r>
      <w:r>
        <w:rPr>
          <w:lang w:val="en-US"/>
        </w:rPr>
        <w:lastRenderedPageBreak/>
        <w:t xml:space="preserve">40 ламп типа ДРЛ (ДРВ) для проведения работ по текущему содержанию уличного освещения. Работы по их установке будут проведены в 2023 году в рамках муниципального контракта с филиалом АО «Алтайкрайэнерго» Каменские МЭС по ул. Крылова, Жуковского, Терешковой, Радостная, Новая, Пушкина и др.Выполнены работы устройству ограждения вдоль периметра полигона ТКО (300 м), а также буртование и очистка границ периметра от мусора на территории сельсоветов (346 тыс. рублей - районный бюджет).В летний период 2022 года, по результатам прохождения паводкого периода Комитетом Администрации Каменского района по жилищно-коммунальному хозяйству, строительству и архитектуре было подготовлено техническое задание (план работ) на выполнение работ по содержанию и устройству водоотводных канав, замене и ремонту труб, лотков, прочих мероприятий по профилактике подтопления земельных участков на территории города.На выполнение таких работ были заключены муниципальные контракты с подрядной организацией ООО «ДСУ» (1750 тыс. рублей из местного бюджета). В рамках их исполнения были выполнены следующие работы:расширение, углубление, очистка водоотводных канав открытого типа (Первомайская, Пушкина, Комсомольская, Ворошилова, М.Горького, Чапаева, Гагарина, Ленинградская и пр.);ремонт, восстановление, укладка, промывка труб (Барнаульская, Лермонтова, Северная, Ленина, Московская, Первомайская и пр.);демонтаж железнодорожных лотков вдоль путей между ул. Писемского и ул. Садовая (700 метров открытого канала и устройство вала из грунта);устройство барьера при течении талых вод с полей в виде земляного вала на всем протяжении границы микрорайона «Зеленый клин» с отводом воды в карьер по ул. Терешковой (протяженность сооружения составила более 2,5 км).В рамках муниципальной программы «Повышение безопасности дорожного движения в  Каменском районе» приобретены и установлены дорожные знаки (70 шт.) в большей части вблизи общеобразовательных учреждений в соответствии со схемой организации дорожного движения, приобретены конструкции пешеходного ограждения (180 метров), также установлены ранее приобретенные ограждения протяженностью 50 м вблизи образовательного учреждения Лицей № 2.В рамках данной программы, в целях исполнения поручений Президента РФ в части приведения пешеходных переходов в соответствие с национальными стандартами приобретены дорожные знаки «Пешеходный переход», изготовленные в соответствии с требованиями ГОСТа в количестве 90 шт., используя данные знаки в 2023 году будут модернизированы 22 пешеходных перехода. Приобретены 2 автономных светофорных объекта типа Т7, которые также в рамках данной программы будут установлены вблизи общеобразовательных учреждений (установка одного объекта на данный момент определена вблизи СОШ №3 по ул. Колесникова, установка второго объекта будет дополнительно рассмотрена на комиссии по обеспечению безопасности дорожного движения во втором квартале 2023 года). Вместе с тем, с целью модернизации светофорных объектов приобретены 12 светодиодных линз, которые в текущем году будут установлены на пешеходном светофоре вблизи Гимназии № 5 по ул. Пушкина.Приобретение знаков, светильников и прочих элементов дорожного хозяйства, выполнение всех работ по программе Безопасность дорожного движения проведено за счет местного бюджета. Использовано по муниципальной программе 3210 тыс. рублей городского бюджета.За счет средств районного бюджета разработаны схемы организации дорожного движения в 13 населенных пунктах на территории </w:t>
      </w:r>
      <w:r>
        <w:rPr>
          <w:lang w:val="en-US"/>
        </w:rPr>
        <w:lastRenderedPageBreak/>
        <w:t>сельсоветов Каменского района. Использовано 302,8 тыс. рублей. Работы выполнила подрядная организация «Центр организации дорожного движения».За счет средств краевых субвенций в 2022 году между Комитетом Администрации Каменского района по жилищно-коммунальному хозяйству, строительству и архитектуре и подрядной организацией ИП Гайдадым Е.Ю. были заключены муниципальные контракты на выполнение работ по отлову и содержанию животных без владельцев. В рамках выделенных финансовых средств подрядная организация произвела работы с 66 особями собак. Все отловленные собаки в соответствии со статьей 18 Федерального закона от 27.12.2018 № 498-ФЗ возвращены на прежние места их обитания. Использовано 568 тыс. рублей краевого бюджета.В целях проведения мероприятий по реконструкции и модернизации объектов теплоснабжения, водоснабжения и водоотведения успешно реализуется государственная программа Алтайского края «Обеспечение населения Алтайского края жилищно-коммунальными услугами» и муниципальная программа «Комплексное развитие коммунальной инфраструктуры Каменского района Алтайского края».В 2022 году:проведен капитальный ремонт водозаборного узла в с. Столбово, на сумму 1 787 тыс. руб., в том числе 1769 тыс. руб. – средства краевого бюджета, 17,8 тыс. руб. средства районного бюджета;проведен Капитальный ремонт водозаборного узла в с. Гонохово, на сумму 2432 тыс. руб., в том числе  2408 тыс. руб. - краевой бюджет, 24,3 – районный бюджет;выполнены работы по капитальному ремонту водонапорной башни в с. Рыбное общей стоимостью 1 573 тыс. руб.(1558 тыс. руб. –  краевой бюджет, 15,7 тыс.  руб. – районный бюджет); проведен капитальный ремонт сетей теплоснабжения котельной № 10 города Камень-на-Оби стоимостью 15 912,8 тыс. руб.;проведен капитальный ремонт сетей теплоснабжения котельной № 19 города Камень-на-Оби за счет краевого бюджета стоимостью 32 012,58 тыс. рублей;осуществлена поставка котельного оборудования средства краевого бюджета, на эти цели было выделено 40,4 миллионов рублей.</w:t>
      </w:r>
    </w:p>
    <w:p w:rsidR="0074511A" w:rsidRDefault="0074511A" w:rsidP="008E0719">
      <w:pPr>
        <w:spacing w:before="240" w:after="240" w:line="276" w:lineRule="auto"/>
        <w:jc w:val="center"/>
        <w:divId w:val="1972859180"/>
      </w:pPr>
      <w:r>
        <w:rPr>
          <w:rStyle w:val="a3"/>
          <w:sz w:val="28"/>
          <w:szCs w:val="28"/>
        </w:rPr>
        <w:t xml:space="preserve">Социальная сфера </w:t>
      </w:r>
    </w:p>
    <w:p w:rsidR="0074511A" w:rsidRPr="001F1010" w:rsidRDefault="001F1010" w:rsidP="001F1010">
      <w:pPr>
        <w:spacing w:line="276" w:lineRule="auto"/>
        <w:jc w:val="both"/>
        <w:divId w:val="1972859180"/>
        <w:rPr>
          <w:lang w:val="en-US"/>
        </w:rPr>
      </w:pPr>
      <w:r>
        <w:rPr>
          <w:lang w:val="en-US"/>
        </w:rPr>
        <w:t xml:space="preserve">ОбразованиеСистема образования Каменского района Алтайского края представлена непрерывной структурой дошкольного, общего и дополнительного образования. Она является частью социальной инфраструктуры района.В районе функционируют 15 школ, 7 дошкольных образовательных организаций, 1 учреждение дополнительного образования.  Все учреждения обеспечены педагогическими кадрами, для которых созданы условия для работы и повышения своего профессионального уровня.Количество учащихся в муниципальных общеобразовательных учреждениях – 5750 человек, в муниципальных дошкольных образовательных учреждениях 1702  человека, в КМОЦ - 2734 человека.В 2022 году 12 молодых специалистов, впервые приступившие к работе в образовательных учреждениях, получили 265 тыс. рублей - муниципальные «подъемные» в размере от 15 до 40 тыс. рублей. На условиях целевого приёма обучаются 6 человек из Каменского района. В целях поддержки обучающемуся по очной форме обучения, производится ежемесячная выплата денежных средств в размере 1000 рублей в месяц в течение учебного года из средств муниципального бюджета.Подвоз учащихся на занятия организован в 8 общеобразовательных учреждениях. Детей подвозят из 17 населенных пунктов по 13 школьным маршрутам.В настоящее время Администрацией района ведется работа над социально-значимым </w:t>
      </w:r>
      <w:r>
        <w:rPr>
          <w:lang w:val="en-US"/>
        </w:rPr>
        <w:lastRenderedPageBreak/>
        <w:t xml:space="preserve">проектом – строительство новой школы. В 2022 году в рамках КАИП на разработку проектно-сметной документации выделено 19 млн. руб.   По итогам проведенных торгов 01.02.2022 с АО «Алтайкоммунпроект» заключен государственный контракт на разработку проектной документации «Каменский район, г. Камень-на-Оби, строительство средней общеобразовательной школы на 825 учащихся». Срок окончания работ по государственному контракту был – 28.11.2022, затем перенесен на 10.02.2023 года. В настоящее время Администрацией Каменского района рассмотрены и согласованы планировочные решения 1-3 этажей здания школы и схема размещения здания на генплане, а также идет подготовка специалистами АО «Алтайкоммунпроект» документации к государственной экспертизе.В 2022 году дополнительно поданы документы для включения в краевую адресную инвестиционную программу на 2023 год на капитальный ремонт фасада здания МБДОУ «Детский сад № 189». В соответствии с посланием Президента РФ В.В. Путина 100% обучающихся 1 – 4 классов должны быть обеспечены бесплатным горячим питанием за счет средств федерального и  краевого бюджетов. Для организации питания детей в 2022 году было выделено  25 219,6 тыс. руб., в том числе средства федерального бюджета – 24 967,4 тыс. рублей, средства краевого бюджета – 252,2 тыс. рублей.Согласно Указу Губернатора Алтайского края членам семей мобилизованных предоставлены дополнительные социальные гарантии: бесплатное питание обучающихся 5-11 классов, освобождение от платы за присмотр и уход за детьми и внеочередное зачисление детей военнослужащих в дошкольные образовательные учреждения. За ноябрь-декабрь на эти цели было потрачено 230 тыс. рублей, а так же были приобретены новогодние подарки для воспитанников детских садов, которые являются членами семей мобилизованных на сумму 15 180 рублей.Для организации качественного питания в дошкольных образовательных организациях дополнительно выделено 3 373 тыс. рублей из средств муниципального бюджета.В рамках регионального проекта «Цифровая образовательная среда» национального проекта «Образование» в 2022 году было получено оборудование для МБОУ «СОШ №3»: 37 ноутбуков, 3 интерактивные панели, МФУ и другое компьютерное оборудование. За счет краевого бюджета в МБОУ «Луговская СОШ»  были приобретены Ноутбуки Aquarius  в количестве 10 штук  на сумму 577,4 тыс. рублей.Для организации проведения государственной итоговой аттестации (ЕГЭ) получено оборудование для пунктов проведения экзаменов: ноутбуки – 21 шт., МФУ – 21 шт. на сумму 2565,4 тыс. руб. Средства выделены из краевого бюджета. Полученное оборудование позволит освоить новую технологию проведения экзаменов – сканирование экзаменационных материалов в аудиториях пунктах проведения экзаменов. Общая сумма выделенных из краевого бюджета средств оставила 4 088 тыс. руб.С 01 июля  2022 года  15  общеобразовательных организаций   перевели свои официальные сайты на платформу «Госвеб». Платформа «Госвеб» позволяет создать качественный и удобный, а главное безопасный сайт с унифицированным интерфейсом, единым для всех учреждений соответствующей группы по всей стране.В рамках государственной программы «Развитие образования в Алтайском крае» национального проекта «Образование» в 2022 году за счет средств краевого бюджета получено технологическое оборудование для школьных столовых на общую сумму 3,7 млн. рублей. Новое оборудование получили столовые девяти школ, расположенных с сельских населенных пунктах и шесть городских школ.  Приобретены: машина овощерезательная электрическая, машина посудомоечная </w:t>
      </w:r>
      <w:r>
        <w:rPr>
          <w:lang w:val="en-US"/>
        </w:rPr>
        <w:lastRenderedPageBreak/>
        <w:t xml:space="preserve">промышленного типа, пароконвектомат, шкаф жарочный, картофелечистка, шкаф холодильный низкотемпературный, тестомес спиральный.         Ежегодно в Алтайском крае проводится конкурс школьных инициатив «Я считаю». Обязательным условием участия в конкурсе являлось привлечение учащихся 9–11 классов к выдвижению и определению школьного проекта. В 2022 году победителем  краевого конкурса «Я считаю» стал МБОУ «Лицей № 2». На выделенные средства совместно с социальными партнерами выполнен  ремонт и приобретена мебель для организации коворкинг-пространства. Сумма гранта составила 350 тыс. рублей из средств краевого бюджета и 33 тыс. рублей – привлеченные средства родителей и спонсоров.В рамках реализации социального проекта «Мой курс», поддержанного Фондом поддержки детей, находящихся в трудной жизненной ситуации, на базе семи образовательных учреждений Каменского района (3 городских, 4 сельских) организовано 7 коворкинг-пространств для общения, проведения досуга учащихся, осуществления индивидуальной профилактической работы с детьми, состоящими на всех видах учета. Каждая площадка оснащена мебелью и настольными играми на общую сумму 937,2 тыс. руб.В рамках плана мероприятий регионального проекта «Современная школа» национального проекта «Образование» в 2022 году на базе МБОУ «Гоноховская СОШ», МБОУ «СОШ № 1», МБОУ «СОШ № 9», МБОУ «Лицей № 4» созданы Центры образования естественно-научной и технологической направленностей «Точка роста», которые обеспечены современным оборудованием для реализации основных и дополнительных общеобразовательных программ. Работа Центров «Точка роста» расширяет возможности для предоставления качественного современного образования для школьников, помогает сформировать у ребят современные технологические навыки. Оборудование получено за счет средств федерального бюджета (13678,7 тыс. руб.), ремонтные работы проведены в рамках средств муниципальной программы «Капитальный ремонт и содержание образовательных учреждений Каменского района» (600,0 тыс. руб.). Всего на базе общеобразовательных организаций функционирует девять Точек роста.В 2022 году на базе Каменского многопрофильного образовательного центра продолжает работу Муниципальный центр поддержки добровольчества (волонтерства) Каменского управленческого округа, который объединил работу добровольческих отрядов различных организаций. На базе центра проходит обучение добровольцев, обмен практиками и осуществляется поддержка добровольческих инициатив.В 2022 году на базе Каменского многопрофильного образовательного центра прошла официальная церемония приема детей в ряды Всероссийского детско-юношеского военно-патриотического общественного движения «Юнармия», всего вступило в ряды более 70 ребят. Ребята изучают физическую подготовку, проводят занятия рукопашного боя, разучивают строевой шаг, ведут огневую практическую и теоретическую подготовку, активно участвуют в патриотических акциях. Создан муниципальный штаб, а в общеобразовательных организациях созданы первичные отделения. Так же в 7 классе МБОУ «СОШ № 1» с 1 сентября 2022 года открыт кадетский класс.На повышение качества системы образования Каменского района в рамках муниципальной программы «Развитие системы образования Каменского района» были выделены в 2022 году 51 885,6 тыс. рублей, из них: 4 284,96 тыс. рублей – средства районного бюджета; 22 633,2 тыс. рублей – средства краевого бюджета; 24 967,4 тыс. рублей – средства федерального бюджета.Для модернизации зданий, оснащения образовательных организаций в рамках </w:t>
      </w:r>
      <w:r>
        <w:rPr>
          <w:lang w:val="en-US"/>
        </w:rPr>
        <w:lastRenderedPageBreak/>
        <w:t xml:space="preserve">муниципальной программы «Капитальный ремонт и содержание образовательных учреждений Каменского района» в 2022 году выделены 9698,04 тыс. рублей, из них: 8698,04 тыс. рублей – средства районного бюджета; 1000,0 тыс. рублей – средства краевого бюджета.В рамках программы были проведены текущие ремонты во всех образовательных организациях:заменены полностью крыши в Рыбинском и Гоноховском детских садах;в МБОУ «Октябрьская СОШ»  проведена замена окон в спортивном зале на сумму 300  тыс. рублей;в здании столовой «Верх-Аллакская НОШ, филиал МБОУ «Столбовская СОШ» произведена замена перекрытия и кровли крыши на сумму 300 тыс. рублей;МБОУ «Рыбинская СОШ» замена водопроводная труба в здании. Стоимость работ 110 тыс. рублей;МБОУ «Корниловская СОШ» пробурена скважина, проведена вода в котельную, приобретен дымосос, проведено наружное освещение по всему периметру школы, на общую сумму 160  тыс. рублей;МБОУ «Луговская СОШ» проведен ремонт котельной на сумму 140 тыс. рублей: поменяли трубы и разводку в цехе котельной, заменили краны, отремонтировали котельную трубу;в МБОУ «Новоярковская СОШ» проведена замена линолеума и трубы для котельной в фиале школы на сумму 130 тыс. рублей;произведена установка дымососа и ремонт котла отопления школьной котельной МБОУ «Аллакская СОШ» на сумму 90 тыс. рублей;МБОУ «Толстовская СОШ» отремонтирован пол в школьной столовой  на сумму 180 тыс. рублей;         МБОУ «СОШ № 3» проведен ремонт фасада и замену входных дверей общей стоимостью 170,0 тыс. рублей. С целью обеспечения антитеррористической безопасности во всех дошкольных образовательных организациях (по 1 корпусу), в МБОУ «Лицей №4», МБОУ «СОШ № 1», МБОУ «СОШ № 9» установлена система оповещения и эвакуации.В образовательных учреждениях Каменского района созданы необходимые условия для получения дошкольного и общего образования детьми с ограниченными возможностями здоровья и услуг психолого-педагогического сопровождения детей-инвалидов и их семей.Численность детей с ограниченными возможностями здоровья в 2022 году в районе составляет 337 детей школьного возраста, а детей с инвалидностью – 147 человек.В 2022 году во всех общеобразовательных и 6 дошкольных образовательных учреждениях продолжена работа по реализации планов по устранению недостатков, выявленных по итогам независимой оценки качества условий осуществления образовательной деятельности, которая проводилась в 2021 году. Продолжается работа по обеспечению условий доступности  организаций и оказываемых ими образовательных услуг для граждан с ограниченными возможностями здоровья и инвалидам.В целях реализации мероприятий по формированию современных управленческих и организационно-экономических механизмов в системе дополнительного образования детей в Алтайском крае в рамках федерального проекта «Успех каждого ребенка» национального проекта «Образование» в 2022 году продолжилась работа по внедрению системы персонифицированного дополнительного образования детей в Каменском районе. Охват детей 5-18 лет дополнительным образованием в Каменском районе составил 76,31 %. Выдано почти 6 тыс. сертификатов дополнительного образования. 121 – сертификатов персонифицированного финансирования на сумму 231,4 тыс. руб.В рамках муниципальной программы «Содействие занятости» в период летних каникул Каменским многопрофильным образовательным центром совместно с Центром занятости населения были трудоустроены 253 школьника в возрасте 14-18 лет. На эти цели из местного бюджета было выделено 150 тыс. рублей.В рамках организации </w:t>
      </w:r>
      <w:r>
        <w:rPr>
          <w:lang w:val="en-US"/>
        </w:rPr>
        <w:lastRenderedPageBreak/>
        <w:t xml:space="preserve">летней оздоровительной кампании в 2022 году на базе 16 общеобразовательных учреждений в июне были проведены профильные смены, в которых отдохнуло 2389 детей. При подготовке к летнему оздоровительному периоду и реализации мер по обеспечению комплексной безопасности в организациях летнего отдыха и оздоровления детей в 2022 году было выделено 1 миллион рублей из краевого бюджета и 1,5 млн. рублей из районного бюджета на восстановление МБУ ЗОЛ «Солнечный берег». На данные деньги был проведен ремонтные работы: ремонт пищеблока и столовой, заменена кровли крыши административного здания; текущий ремонт административного здания; закуплены – тумбочки; постельное белье; холодильник; душевая кабина, мебель для ванной комнаты; прикроватные коврики; спортивный инвентарь; посуда. В июле был открыт МБУ «Загородный оздоровительный лагерь «Солнечный берег», в котором прошла одна оздоровительная смена.В Каменском районе 110 детей отдохнули в загородных лагерях Алтайского края. Администрацией Каменского района осуществляется социальная поддержка для законных представителей несовершеннолетних в виде компенсации стоимости путевок для отдыха и оздоровления детей. В 2022 году выплачена компенсация части стоимости путёвки в загородные лагеря отдыха и оздоровления в размере  973 тыс. руб. КультураПо состоянию на 01.01.2023 года  в структуре бюджетных учреждений культуры изменений по сравнению с прошлым годом не произошло.В течение года проведено 1861 культурно-массовые мероприятие, которые посетили порядка 200 тысяч человек.  На платной основе проведено 288 мероприятия, которые посетили 17 тысяч человек. С целью привлечения большего количества зрителей общерайонные мероприятия, проводится в вечернее время, а также в выходные и праздничные дни.На базе учреждений культуры созданы и работают 127 клубных формирования и объединения с охватом 1817 человек.В культурно-досуговых учреждениях Каменского района по данным на конец 2022 года  количество работников составляет 71 человек. Из них в сельской местности – 36.         В рамках нацпроекта «Культура» регионального проекта «Культурная среда» проведен капитальный ремонт  МБУДО «Каменская школа искусств». Это позволило отремонтировать внутри помещение школы и создать комфортные условия для обучения детей. Денежных средства было выделено в размере 7 297 тыс. рублей из них средства федерального бюджета – 7 225 тыс.руб., средства краевого бюджета – 72,9 тыс. руб. Также была выделена субсидия на выполнение мероприятий по капитальному ремонту КДШИ в рамках КАИП. Это дополнительные средства краевого бюджета в размере 2 855 тыс. руб.         В рамках нацпроекта «Культура» регионального проекта «Цифровизация услуг и формирование информационного пространства в сфере культуры» («Цифровая культура») было выделено из федерального бюджета 1 млн. руб. для создания виртуального концертного зала в МБУК «Культурно-информационный центр» Центральной районной библиотеке им.М.Ф. Борисова. Было приобретено необходимое техоборудование. Теперь жители района могут смотреть в прямом эфире различные концерты с выдающимися артистами и исполнителями.В 2022 году по итогам рассмотрения заявок конкурса на переоснащение муниципальных библиотек по модельному стандарту победителем стала Центральная районная библиотека им. М.Ф. Борисова Каменского района. Для учреждения приобретены издания на различных носителях для комплектования фонда, мебель, техническое оборудование, на эти цели из краевого бюджета выделено более 6 млн. рублей. Из бюджета Каменского района </w:t>
      </w:r>
      <w:r>
        <w:rPr>
          <w:lang w:val="en-US"/>
        </w:rPr>
        <w:lastRenderedPageBreak/>
        <w:t xml:space="preserve">выделено 3,5 млн. рублей на необходимые ремонтные работы.В рамках нацпроекта «Культура»  федерального проекта «Творческие люди»  на поддержку отрасли культуры в части оказания государственной поддержки лучшим работникам сельских учреждений культуры  и лучшим сельским учреждениям культуры  стал Попереческий сельский дом культуры, которому были выделены денежные средства в размере 101 тыс. руб. На данные средства приобретено необходимое для работы оборудование (прибор световой, прибор светодиодный, стойка микрофонная), что позволит привлечь как можно больше посетителей в Дом культуры и выполнить целевые показатели по посещаемости. Кроме этого лучшему работнику Попереченского сельского дома культуры Мацюк Маргарите Николаевне по данному проекту выделены денежные средства в размере 50 тыс. руб.        С февраля 2022 года была начата работа с «Пушкинской картой» в кинотеатре «Звезда». Общая сумма средств составила 413,3 тыс. руб. С апреля 2022 года проект стартовал во Дворце культуры. Было предложено пять мероприятий, которые посетили 267 человек, по билетам «Пушкинской карты», общая сумма средств составила 26,7 тыс. руб.На территории города Камень-на-Оби расположен памятник архитектуры и истории начала ХХ века  «Торговый дом купца А.И. Винокурова», где находятся 2 учреждения культуры.  К сожалению, в настоящем времени значительная часть памятника находится в неудовлетворительном состоянии. Требуется капитальный ремонт кровли всего здания. В части помещений, под воздействием атмосферных осадков, пришли в неудовлетворительное состояния потолочные и межэтажные перекрытия.         ООО «Реставрационная мастерская «Ренессанс» г. Барнаул Алтайского края проведено инженерное обследование,  составлена смета на ремонтно-восстановительные работы  крыши памятника архитектуры «Торговый дом А.И. Винокурова». Документы по техническому заданию  рассмотрены и подписаны Министерством строительства и жилищно-коммунального хозяйства Алтайского края. Полный пакет документов  рассмотрен  в Государственной  экспертизе   Алтайского края и дано положительное заключение.  В 2022 году подана заявка в Министерство культуры Алтайского края    для участия в национальном проекте «Культура» по направлению «Реконструкция и капитальный ремонт муниципальных музеев» на 2023-2025 годы.         В рамках государственной программы Алтайского края «Обеспечение доступным и комфортным жильем населения Алтайского края» в 2022 году 13 молодых многодетных семей получили Свидетельства на приобретение жилого помещения на общую сумму 5,4 млн. руб. В  2023 год поддержку по данной программе  получили 3 семьи. Физическая культура и спорт         Одно из условий повышения качества жизни населения считается - создание условий для систематических занятий населения физической культурой и спортом.                                                                В районе функционирует МБУ СП «Каменская спортивная школа», где спортивная подготовка ведется по девяти видам спорта (отделение волейбола, баскетбола, лыжных гонок, греко–римской борьбы, бокса, кикбоксинга, хоккея с шайбой, плавание и футбола). В школе работают 23 штатных тренера и занимаются 1050 детей.На территории города осуществляют свою деятельность филиалы краевых спортивных школ КГУ по баскетболу («Алтай Баскет»), КГБУ «Алтайский Ринг» по боксу, по шахматам (Краевой шахматный клуб), по спортивной аэробике «Жемчужина Алтая», секция по военно–прикладному делу, секция по каратэ киокушинкай.Общая численность занимающихся физической культурой и спортом составляет в 2022 году – 27 612 человека. Это 56% от  общей </w:t>
      </w:r>
      <w:r>
        <w:rPr>
          <w:lang w:val="en-US"/>
        </w:rPr>
        <w:lastRenderedPageBreak/>
        <w:t>численности населения.Комитетом Администрации района по физической культуре и спорту разработан календарный план спортивно – массовых мероприятий. Всего в 2022 году проведено 99 спортивно-массовых мероприятия.В рамках краевой адресной инвестиционной программы на капитальный ремонт здания МБУ СП «Каменская спортивная школа» из краевого бюджета выделены денежные средства в размере 22 661,2 тыс. руб. На выделенные средства заключены муниципальные контракты, в рамках которых:произведена замена демонтаж и монтаж дверных проемов (15 шт.) и ремонт оконных блоков в игровом зале;произведен монтаж вытяжки, покраска лестничного марша;демонтаж полового покрытия спортивного зала. Согласно контракта  с ООО «Краснодарская строительная компания старт» предусмотрены следующие виды работ: общестроительные ремонтные работы; автоматизация общеобменной вентиляции; индивидуальный тепловой пункт; система автоматической установки пожарной сигнализации; система вентиляции; система отопления; система электроснабжения; пусконаладочные работы.В рамках реализации гранта  полученного по социальному проекту «Мой курс», поддержанного Фондом поддержки детей, находящихся в трудной жизненной ситуации, приобретены велосипеды детские, спортивный инвентарь и спортивная форма на сумму 318,7 тыс. рублей для МБУ СП «Каменской спортивной школы».         По государственной программе Алтайского края «Развитие физической культуры и спорта в Алтайском крае» подпрограмма «Развитие спорта высших достижений и системы подготовки спортивного резерва» за счет субсидии для муниципальных учреждений, осуществляющих спортивную подготовку приобретен спортивный инвентарь и спортивная форма на сумму 314 тыс. руб., в том числе средства краевого бюджета 311 тыс. рублей и 3 тыс. рублей средства районного бюджета.         По муниципальной программе «Развитие физической культуры и спорта» за счет средств районного бюджета приобретены:спортивная форма на зимнюю олимпиаду на сумму 418 тыс. рублей;спортивный инвентарь на сумму 18 тыс. рублей из них 3 тысячи рублей в рамках софинансирования, предоставления субсидии из краевого бюджета муниципальных образований;наградной материал на сумму 152 тыс. рублей;проведение соревнований по различным видам спорта составило 725 тыс. рублей;проведение государственной экспертизы проектной документации на сумму 23,8 тыс. рублей;За счет средств бюджета городского поселения в рамках МП «Развитие физической культуры и спорта» был приобретен спортивный комплекс для занятия воркаутом и установлен по ул. ДОС, на общую сумму 239 тыс. руб.На обеспечение участия спортсменов (питание, оплата проезда) на X летнюю олимпиаду городов Алтайского края было израсходовано 220 тыс. руб.         Дополнительно за счет средств районного бюджета:был произведен ремонт цоколя здания бассейна на сумму 299 тыс. рублей;проведена сертификация спортивного зала  в МБУ СП «Каменская спортивная школа»  на сумму 55 тыс. рублей;в 2022 году в связи с получением лицензии для перехода на дополнительное образование с сентября 2023г. и приведение в соответствие требований по нормам освещения в МБУ СП «Каменская спортивная школа» были закуплены и установлены энергосберегающие лампы на сумму порядка 43 тыс. рублей;приобретено оборудование для оснащения материально-технической базы школы на сумму 77 тыс. рублей.</w:t>
      </w:r>
    </w:p>
    <w:p w:rsidR="0074511A" w:rsidRDefault="0074511A">
      <w:pPr>
        <w:spacing w:after="240" w:line="276" w:lineRule="auto"/>
        <w:divId w:val="1537622445"/>
      </w:pPr>
      <w:r>
        <w:br/>
      </w:r>
      <w:r>
        <w:br/>
      </w:r>
    </w:p>
    <w:tbl>
      <w:tblPr>
        <w:tblW w:w="0" w:type="auto"/>
        <w:jc w:val="right"/>
        <w:tblCellSpacing w:w="15" w:type="dxa"/>
        <w:tblCellMar>
          <w:top w:w="15" w:type="dxa"/>
          <w:left w:w="15" w:type="dxa"/>
          <w:bottom w:w="15" w:type="dxa"/>
          <w:right w:w="15" w:type="dxa"/>
        </w:tblCellMar>
        <w:tblLook w:val="04A0"/>
      </w:tblPr>
      <w:tblGrid>
        <w:gridCol w:w="758"/>
        <w:gridCol w:w="1260"/>
        <w:gridCol w:w="3764"/>
      </w:tblGrid>
      <w:tr w:rsidR="0074511A" w:rsidTr="008E0719">
        <w:trPr>
          <w:divId w:val="1191646061"/>
          <w:tblCellSpacing w:w="15" w:type="dxa"/>
          <w:jc w:val="right"/>
        </w:trPr>
        <w:tc>
          <w:tcPr>
            <w:tcW w:w="0" w:type="auto"/>
            <w:vAlign w:val="center"/>
            <w:hideMark/>
          </w:tcPr>
          <w:p w:rsidR="0074511A" w:rsidRPr="001F1010" w:rsidRDefault="001F1010" w:rsidP="008E0719">
            <w:pPr>
              <w:spacing w:line="276" w:lineRule="auto"/>
              <w:jc w:val="right"/>
              <w:rPr>
                <w:sz w:val="28"/>
                <w:szCs w:val="28"/>
                <w:lang w:val="en-US"/>
              </w:rPr>
            </w:pPr>
            <w:r>
              <w:rPr>
                <w:sz w:val="28"/>
                <w:szCs w:val="28"/>
                <w:lang w:val="en-US"/>
              </w:rPr>
              <w:lastRenderedPageBreak/>
              <w:t>Глава</w:t>
            </w:r>
          </w:p>
        </w:tc>
        <w:tc>
          <w:tcPr>
            <w:tcW w:w="0" w:type="auto"/>
            <w:vAlign w:val="bottom"/>
            <w:hideMark/>
          </w:tcPr>
          <w:p w:rsidR="0074511A" w:rsidRDefault="0074511A">
            <w:r>
              <w:t>__________</w:t>
            </w:r>
          </w:p>
        </w:tc>
        <w:tc>
          <w:tcPr>
            <w:tcW w:w="0" w:type="auto"/>
            <w:vAlign w:val="bottom"/>
            <w:hideMark/>
          </w:tcPr>
          <w:p w:rsidR="0074511A" w:rsidRPr="001F1010" w:rsidRDefault="001F1010">
            <w:pPr>
              <w:spacing w:line="276" w:lineRule="auto"/>
              <w:rPr>
                <w:sz w:val="28"/>
                <w:szCs w:val="28"/>
                <w:lang w:val="en-US"/>
              </w:rPr>
            </w:pPr>
            <w:r>
              <w:rPr>
                <w:sz w:val="28"/>
                <w:szCs w:val="28"/>
                <w:lang w:val="en-US"/>
              </w:rPr>
              <w:t>Панченко Иван Владимирович</w:t>
            </w:r>
          </w:p>
        </w:tc>
      </w:tr>
      <w:tr w:rsidR="0074511A" w:rsidTr="008E0719">
        <w:trPr>
          <w:divId w:val="1191646061"/>
          <w:tblCellSpacing w:w="15" w:type="dxa"/>
          <w:jc w:val="right"/>
        </w:trPr>
        <w:tc>
          <w:tcPr>
            <w:tcW w:w="0" w:type="auto"/>
            <w:vAlign w:val="center"/>
            <w:hideMark/>
          </w:tcPr>
          <w:p w:rsidR="0074511A" w:rsidRDefault="0074511A">
            <w:r>
              <w:t> </w:t>
            </w:r>
          </w:p>
        </w:tc>
        <w:tc>
          <w:tcPr>
            <w:tcW w:w="0" w:type="auto"/>
            <w:hideMark/>
          </w:tcPr>
          <w:p w:rsidR="0074511A" w:rsidRDefault="0074511A">
            <w:r>
              <w:t>(подпись)</w:t>
            </w:r>
          </w:p>
        </w:tc>
        <w:tc>
          <w:tcPr>
            <w:tcW w:w="0" w:type="auto"/>
            <w:vAlign w:val="center"/>
            <w:hideMark/>
          </w:tcPr>
          <w:p w:rsidR="0074511A" w:rsidRDefault="0074511A">
            <w:r>
              <w:t> </w:t>
            </w:r>
          </w:p>
        </w:tc>
      </w:tr>
    </w:tbl>
    <w:tbl>
      <w:tblPr>
        <w:tblW w:w="0" w:type="auto"/>
        <w:tblCellSpacing w:w="15" w:type="dxa"/>
        <w:tblCellMar>
          <w:top w:w="15" w:type="dxa"/>
          <w:left w:w="15" w:type="dxa"/>
          <w:bottom w:w="15" w:type="dxa"/>
          <w:right w:w="15" w:type="dxa"/>
        </w:tblCellMar>
        <w:tblLook w:val="04A0"/>
      </w:tblPr>
      <w:tblGrid>
        <w:gridCol w:w="5595"/>
        <w:gridCol w:w="81"/>
      </w:tblGrid>
      <w:tr w:rsidR="0074511A">
        <w:trPr>
          <w:divId w:val="1537622445"/>
          <w:tblCellSpacing w:w="15" w:type="dxa"/>
        </w:trPr>
        <w:tc>
          <w:tcPr>
            <w:tcW w:w="5550" w:type="dxa"/>
            <w:vAlign w:val="center"/>
            <w:hideMark/>
          </w:tcPr>
          <w:p w:rsidR="0074511A" w:rsidRDefault="0074511A">
            <w:r>
              <w:t> </w:t>
            </w:r>
          </w:p>
        </w:tc>
        <w:tc>
          <w:tcPr>
            <w:tcW w:w="0" w:type="auto"/>
            <w:vAlign w:val="center"/>
            <w:hideMark/>
          </w:tcPr>
          <w:p w:rsidR="0074511A" w:rsidRDefault="0074511A"/>
        </w:tc>
      </w:tr>
    </w:tbl>
    <w:p w:rsidR="0074511A" w:rsidRDefault="0074511A">
      <w:pPr>
        <w:divId w:val="1537622445"/>
      </w:pPr>
    </w:p>
    <w:sectPr w:rsidR="0074511A" w:rsidSect="00D47142">
      <w:headerReference w:type="even" r:id="rId6"/>
      <w:headerReference w:type="default" r:id="rId7"/>
      <w:footerReference w:type="even" r:id="rId8"/>
      <w:footerReference w:type="default" r:id="rId9"/>
      <w:headerReference w:type="first" r:id="rId10"/>
      <w:footerReference w:type="first" r:id="rId11"/>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1F99" w:rsidRDefault="003C1F99" w:rsidP="00D47142">
      <w:r>
        <w:separator/>
      </w:r>
    </w:p>
  </w:endnote>
  <w:endnote w:type="continuationSeparator" w:id="0">
    <w:p w:rsidR="003C1F99" w:rsidRDefault="003C1F99" w:rsidP="00D4714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7142" w:rsidRDefault="00D47142">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7142" w:rsidRDefault="00BE615A" w:rsidP="00D47142">
    <w:pPr>
      <w:pStyle w:val="a6"/>
      <w:jc w:val="right"/>
    </w:pPr>
    <w:r>
      <w:fldChar w:fldCharType="begin"/>
    </w:r>
    <w:r w:rsidR="00D47142">
      <w:instrText xml:space="preserve"> PAGE  \* MERGEFORMAT </w:instrText>
    </w:r>
    <w:r>
      <w:fldChar w:fldCharType="separate"/>
    </w:r>
    <w:r w:rsidR="00CB0737">
      <w:rPr>
        <w:noProof/>
      </w:rPr>
      <w:t>2</w:t>
    </w:r>
    <w: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7142" w:rsidRDefault="00D47142">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1F99" w:rsidRDefault="003C1F99" w:rsidP="00D47142">
      <w:r>
        <w:separator/>
      </w:r>
    </w:p>
  </w:footnote>
  <w:footnote w:type="continuationSeparator" w:id="0">
    <w:p w:rsidR="003C1F99" w:rsidRDefault="003C1F99" w:rsidP="00D4714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7142" w:rsidRDefault="00D47142">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7142" w:rsidRDefault="00D47142">
    <w:pPr>
      <w:pStyle w:val="a4"/>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7142" w:rsidRDefault="00D47142">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rsids>
    <w:rsidRoot w:val="00D47142"/>
    <w:rsid w:val="000D3D3D"/>
    <w:rsid w:val="0015389F"/>
    <w:rsid w:val="001F1010"/>
    <w:rsid w:val="003C1F99"/>
    <w:rsid w:val="00467A05"/>
    <w:rsid w:val="005A1D93"/>
    <w:rsid w:val="00705BA6"/>
    <w:rsid w:val="0074511A"/>
    <w:rsid w:val="008E0719"/>
    <w:rsid w:val="00954C8F"/>
    <w:rsid w:val="00BE615A"/>
    <w:rsid w:val="00C97D56"/>
    <w:rsid w:val="00CB0737"/>
    <w:rsid w:val="00D4714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615A"/>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 (веб)1"/>
    <w:basedOn w:val="a"/>
    <w:uiPriority w:val="99"/>
    <w:unhideWhenUsed/>
    <w:rsid w:val="00BE615A"/>
    <w:pPr>
      <w:spacing w:before="100" w:beforeAutospacing="1" w:after="100" w:afterAutospacing="1"/>
    </w:pPr>
  </w:style>
  <w:style w:type="character" w:styleId="a3">
    <w:name w:val="Strong"/>
    <w:basedOn w:val="a0"/>
    <w:uiPriority w:val="22"/>
    <w:qFormat/>
    <w:rsid w:val="00BE615A"/>
    <w:rPr>
      <w:b/>
      <w:bCs/>
    </w:rPr>
  </w:style>
  <w:style w:type="paragraph" w:styleId="a4">
    <w:name w:val="header"/>
    <w:basedOn w:val="a"/>
    <w:link w:val="a5"/>
    <w:uiPriority w:val="99"/>
    <w:semiHidden/>
    <w:unhideWhenUsed/>
    <w:rsid w:val="00D47142"/>
    <w:pPr>
      <w:tabs>
        <w:tab w:val="center" w:pos="4677"/>
        <w:tab w:val="right" w:pos="9355"/>
      </w:tabs>
    </w:pPr>
  </w:style>
  <w:style w:type="character" w:customStyle="1" w:styleId="a5">
    <w:name w:val="Верхний колонтитул Знак"/>
    <w:basedOn w:val="a0"/>
    <w:link w:val="a4"/>
    <w:uiPriority w:val="99"/>
    <w:semiHidden/>
    <w:rsid w:val="00D47142"/>
    <w:rPr>
      <w:rFonts w:eastAsia="Times New Roman"/>
      <w:sz w:val="24"/>
      <w:szCs w:val="24"/>
    </w:rPr>
  </w:style>
  <w:style w:type="paragraph" w:styleId="a6">
    <w:name w:val="footer"/>
    <w:basedOn w:val="a"/>
    <w:link w:val="a7"/>
    <w:uiPriority w:val="99"/>
    <w:semiHidden/>
    <w:unhideWhenUsed/>
    <w:rsid w:val="00D47142"/>
    <w:pPr>
      <w:tabs>
        <w:tab w:val="center" w:pos="4677"/>
        <w:tab w:val="right" w:pos="9355"/>
      </w:tabs>
    </w:pPr>
  </w:style>
  <w:style w:type="character" w:customStyle="1" w:styleId="a7">
    <w:name w:val="Нижний колонтитул Знак"/>
    <w:basedOn w:val="a0"/>
    <w:link w:val="a6"/>
    <w:uiPriority w:val="99"/>
    <w:semiHidden/>
    <w:rsid w:val="00D47142"/>
    <w:rPr>
      <w:rFonts w:eastAsia="Times New Roman"/>
      <w:sz w:val="24"/>
      <w:szCs w:val="24"/>
    </w:rPr>
  </w:style>
</w:styles>
</file>

<file path=word/webSettings.xml><?xml version="1.0" encoding="utf-8"?>
<w:webSettings xmlns:r="http://schemas.openxmlformats.org/officeDocument/2006/relationships" xmlns:w="http://schemas.openxmlformats.org/wordprocessingml/2006/main">
  <w:divs>
    <w:div w:id="1537622445">
      <w:marLeft w:val="0"/>
      <w:marRight w:val="0"/>
      <w:marTop w:val="0"/>
      <w:marBottom w:val="0"/>
      <w:divBdr>
        <w:top w:val="none" w:sz="0" w:space="0" w:color="auto"/>
        <w:left w:val="none" w:sz="0" w:space="0" w:color="auto"/>
        <w:bottom w:val="none" w:sz="0" w:space="0" w:color="auto"/>
        <w:right w:val="none" w:sz="0" w:space="0" w:color="auto"/>
      </w:divBdr>
      <w:divsChild>
        <w:div w:id="223301121">
          <w:marLeft w:val="300"/>
          <w:marRight w:val="0"/>
          <w:marTop w:val="0"/>
          <w:marBottom w:val="0"/>
          <w:divBdr>
            <w:top w:val="none" w:sz="0" w:space="0" w:color="auto"/>
            <w:left w:val="none" w:sz="0" w:space="0" w:color="auto"/>
            <w:bottom w:val="none" w:sz="0" w:space="0" w:color="auto"/>
            <w:right w:val="none" w:sz="0" w:space="0" w:color="auto"/>
          </w:divBdr>
        </w:div>
        <w:div w:id="1450320109">
          <w:marLeft w:val="300"/>
          <w:marRight w:val="0"/>
          <w:marTop w:val="0"/>
          <w:marBottom w:val="0"/>
          <w:divBdr>
            <w:top w:val="none" w:sz="0" w:space="0" w:color="auto"/>
            <w:left w:val="none" w:sz="0" w:space="0" w:color="auto"/>
            <w:bottom w:val="none" w:sz="0" w:space="0" w:color="auto"/>
            <w:right w:val="none" w:sz="0" w:space="0" w:color="auto"/>
          </w:divBdr>
        </w:div>
        <w:div w:id="1006633197">
          <w:marLeft w:val="300"/>
          <w:marRight w:val="0"/>
          <w:marTop w:val="0"/>
          <w:marBottom w:val="0"/>
          <w:divBdr>
            <w:top w:val="none" w:sz="0" w:space="0" w:color="auto"/>
            <w:left w:val="none" w:sz="0" w:space="0" w:color="auto"/>
            <w:bottom w:val="none" w:sz="0" w:space="0" w:color="auto"/>
            <w:right w:val="none" w:sz="0" w:space="0" w:color="auto"/>
          </w:divBdr>
        </w:div>
        <w:div w:id="672149918">
          <w:marLeft w:val="300"/>
          <w:marRight w:val="0"/>
          <w:marTop w:val="0"/>
          <w:marBottom w:val="0"/>
          <w:divBdr>
            <w:top w:val="none" w:sz="0" w:space="0" w:color="auto"/>
            <w:left w:val="none" w:sz="0" w:space="0" w:color="auto"/>
            <w:bottom w:val="none" w:sz="0" w:space="0" w:color="auto"/>
            <w:right w:val="none" w:sz="0" w:space="0" w:color="auto"/>
          </w:divBdr>
        </w:div>
        <w:div w:id="1356543834">
          <w:marLeft w:val="300"/>
          <w:marRight w:val="0"/>
          <w:marTop w:val="0"/>
          <w:marBottom w:val="0"/>
          <w:divBdr>
            <w:top w:val="none" w:sz="0" w:space="0" w:color="auto"/>
            <w:left w:val="none" w:sz="0" w:space="0" w:color="auto"/>
            <w:bottom w:val="none" w:sz="0" w:space="0" w:color="auto"/>
            <w:right w:val="none" w:sz="0" w:space="0" w:color="auto"/>
          </w:divBdr>
        </w:div>
        <w:div w:id="1611469857">
          <w:marLeft w:val="300"/>
          <w:marRight w:val="0"/>
          <w:marTop w:val="0"/>
          <w:marBottom w:val="0"/>
          <w:divBdr>
            <w:top w:val="none" w:sz="0" w:space="0" w:color="auto"/>
            <w:left w:val="none" w:sz="0" w:space="0" w:color="auto"/>
            <w:bottom w:val="none" w:sz="0" w:space="0" w:color="auto"/>
            <w:right w:val="none" w:sz="0" w:space="0" w:color="auto"/>
          </w:divBdr>
        </w:div>
        <w:div w:id="1437944105">
          <w:marLeft w:val="300"/>
          <w:marRight w:val="0"/>
          <w:marTop w:val="0"/>
          <w:marBottom w:val="0"/>
          <w:divBdr>
            <w:top w:val="none" w:sz="0" w:space="0" w:color="auto"/>
            <w:left w:val="none" w:sz="0" w:space="0" w:color="auto"/>
            <w:bottom w:val="none" w:sz="0" w:space="0" w:color="auto"/>
            <w:right w:val="none" w:sz="0" w:space="0" w:color="auto"/>
          </w:divBdr>
        </w:div>
        <w:div w:id="1904366202">
          <w:marLeft w:val="300"/>
          <w:marRight w:val="0"/>
          <w:marTop w:val="0"/>
          <w:marBottom w:val="0"/>
          <w:divBdr>
            <w:top w:val="none" w:sz="0" w:space="0" w:color="auto"/>
            <w:left w:val="none" w:sz="0" w:space="0" w:color="auto"/>
            <w:bottom w:val="none" w:sz="0" w:space="0" w:color="auto"/>
            <w:right w:val="none" w:sz="0" w:space="0" w:color="auto"/>
          </w:divBdr>
        </w:div>
        <w:div w:id="1972859180">
          <w:marLeft w:val="300"/>
          <w:marRight w:val="0"/>
          <w:marTop w:val="0"/>
          <w:marBottom w:val="0"/>
          <w:divBdr>
            <w:top w:val="none" w:sz="0" w:space="0" w:color="auto"/>
            <w:left w:val="none" w:sz="0" w:space="0" w:color="auto"/>
            <w:bottom w:val="none" w:sz="0" w:space="0" w:color="auto"/>
            <w:right w:val="none" w:sz="0" w:space="0" w:color="auto"/>
          </w:divBdr>
        </w:div>
        <w:div w:id="1191646061">
          <w:marLeft w:val="0"/>
          <w:marRight w:val="0"/>
          <w:marTop w:val="0"/>
          <w:marBottom w:val="0"/>
          <w:divBdr>
            <w:top w:val="none" w:sz="0" w:space="0" w:color="auto"/>
            <w:left w:val="none" w:sz="0" w:space="0" w:color="auto"/>
            <w:bottom w:val="none" w:sz="0" w:space="0" w:color="auto"/>
            <w:right w:val="none" w:sz="0" w:space="0" w:color="auto"/>
          </w:divBdr>
        </w:div>
      </w:divsChild>
    </w:div>
  </w:divs>
  <w:encoding w:val="unicod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7496</Words>
  <Characters>42731</Characters>
  <Application>Microsoft Office Word</Application>
  <DocSecurity>0</DocSecurity>
  <Lines>356</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GUEI</Company>
  <LinksUpToDate>false</LinksUpToDate>
  <CharactersWithSpaces>50127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webadmin</dc:creator>
  <cp:lastModifiedBy>Uz</cp:lastModifiedBy>
  <cp:revision>2</cp:revision>
  <dcterms:created xsi:type="dcterms:W3CDTF">2023-04-25T06:39:00Z</dcterms:created>
  <dcterms:modified xsi:type="dcterms:W3CDTF">2023-04-25T06:39:00Z</dcterms:modified>
</cp:coreProperties>
</file>