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117880">
        <w:rPr>
          <w:rFonts w:ascii="Times New Roman" w:hAnsi="Times New Roman"/>
          <w:sz w:val="28"/>
          <w:szCs w:val="28"/>
        </w:rPr>
        <w:t>15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B53789">
        <w:rPr>
          <w:rFonts w:ascii="Times New Roman" w:hAnsi="Times New Roman"/>
          <w:sz w:val="28"/>
          <w:szCs w:val="28"/>
        </w:rPr>
        <w:t>мая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D21661">
        <w:rPr>
          <w:rFonts w:ascii="Times New Roman" w:hAnsi="Times New Roman"/>
          <w:sz w:val="28"/>
          <w:szCs w:val="28"/>
        </w:rPr>
        <w:t>5</w:t>
      </w:r>
      <w:r w:rsidR="002E37E8">
        <w:rPr>
          <w:rFonts w:ascii="Times New Roman" w:hAnsi="Times New Roman"/>
          <w:sz w:val="28"/>
          <w:szCs w:val="28"/>
        </w:rPr>
        <w:t>6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791010">
        <w:rPr>
          <w:rFonts w:ascii="Times New Roman" w:hAnsi="Times New Roman"/>
          <w:sz w:val="28"/>
          <w:szCs w:val="28"/>
        </w:rPr>
        <w:t xml:space="preserve">проекта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791010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Pr="004D32CC">
        <w:rPr>
          <w:rFonts w:ascii="Times New Roman" w:hAnsi="Times New Roman"/>
          <w:sz w:val="28"/>
          <w:szCs w:val="28"/>
        </w:rPr>
        <w:t xml:space="preserve">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E27070">
        <w:rPr>
          <w:rFonts w:ascii="Times New Roman" w:hAnsi="Times New Roman"/>
          <w:sz w:val="28"/>
          <w:szCs w:val="28"/>
        </w:rPr>
        <w:t>15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E557D3">
        <w:rPr>
          <w:rFonts w:ascii="Times New Roman" w:hAnsi="Times New Roman"/>
          <w:sz w:val="28"/>
          <w:szCs w:val="28"/>
        </w:rPr>
        <w:t>6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C22AC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241FBC0" wp14:editId="4863C9CB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E557D3">
        <w:rPr>
          <w:rFonts w:ascii="Times New Roman" w:hAnsi="Times New Roman"/>
          <w:sz w:val="28"/>
          <w:szCs w:val="28"/>
          <w:u w:val="single"/>
        </w:rPr>
        <w:t>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564FA0"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E557D3">
        <w:rPr>
          <w:rFonts w:ascii="Times New Roman" w:hAnsi="Times New Roman"/>
          <w:sz w:val="28"/>
          <w:szCs w:val="28"/>
          <w:u w:val="single"/>
        </w:rPr>
        <w:t>5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0664" w:rsidRPr="00D10664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D10664" w:rsidRPr="00D10664">
        <w:rPr>
          <w:rFonts w:ascii="Times New Roman" w:hAnsi="Times New Roman"/>
          <w:sz w:val="28"/>
          <w:szCs w:val="28"/>
        </w:rPr>
        <w:t>Дворских</w:t>
      </w:r>
      <w:proofErr w:type="spellEnd"/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0664" w:rsidRPr="00D10664">
        <w:rPr>
          <w:rFonts w:ascii="Times New Roman" w:hAnsi="Times New Roman"/>
          <w:sz w:val="28"/>
          <w:szCs w:val="28"/>
        </w:rPr>
        <w:t xml:space="preserve">И. А. </w:t>
      </w:r>
      <w:proofErr w:type="spellStart"/>
      <w:r w:rsidR="00D10664" w:rsidRPr="00D10664">
        <w:rPr>
          <w:rFonts w:ascii="Times New Roman" w:hAnsi="Times New Roman"/>
          <w:sz w:val="28"/>
          <w:szCs w:val="28"/>
        </w:rPr>
        <w:t>Дворских</w:t>
      </w:r>
      <w:proofErr w:type="spellEnd"/>
    </w:p>
    <w:p w:rsidR="0046249E" w:rsidRDefault="0046249E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proofErr w:type="spellStart"/>
      <w:r w:rsidR="002E37E8">
        <w:rPr>
          <w:rFonts w:ascii="Times New Roman" w:hAnsi="Times New Roman"/>
          <w:b/>
          <w:sz w:val="28"/>
          <w:szCs w:val="28"/>
        </w:rPr>
        <w:t>Попереченского</w:t>
      </w:r>
      <w:proofErr w:type="spellEnd"/>
      <w:r w:rsidR="00EB0F80" w:rsidRPr="00EB0F80">
        <w:rPr>
          <w:rFonts w:ascii="Times New Roman" w:hAnsi="Times New Roman"/>
          <w:b/>
          <w:sz w:val="28"/>
          <w:szCs w:val="28"/>
        </w:rPr>
        <w:t xml:space="preserve"> 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9C0409" w:rsidRPr="009C0409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proofErr w:type="spellStart"/>
      <w:r w:rsidR="009C0409" w:rsidRPr="009C0409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="009C0409" w:rsidRPr="009C0409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proofErr w:type="spellStart"/>
      <w:r w:rsidR="009C0409" w:rsidRPr="009C0409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9C0409" w:rsidRPr="009C0409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23.12.2021 №26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Year" w:val="2024"/>
          <w:attr w:name="Day" w:val="26"/>
          <w:attr w:name="Month" w:val="04"/>
          <w:attr w:name="ls" w:val="trans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85934">
        <w:rPr>
          <w:rFonts w:ascii="Times New Roman" w:hAnsi="Times New Roman"/>
          <w:sz w:val="28"/>
          <w:szCs w:val="28"/>
        </w:rPr>
        <w:t>15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E526FC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985934">
        <w:rPr>
          <w:rFonts w:ascii="Times New Roman" w:hAnsi="Times New Roman"/>
          <w:sz w:val="28"/>
          <w:szCs w:val="28"/>
        </w:rPr>
        <w:t>5</w:t>
      </w:r>
      <w:r w:rsidR="009C0409">
        <w:rPr>
          <w:rFonts w:ascii="Times New Roman" w:hAnsi="Times New Roman"/>
          <w:sz w:val="28"/>
          <w:szCs w:val="28"/>
        </w:rPr>
        <w:t>6</w:t>
      </w:r>
      <w:r w:rsidR="00DB3506" w:rsidRPr="00DB3506">
        <w:rPr>
          <w:rFonts w:ascii="Times New Roman" w:hAnsi="Times New Roman"/>
          <w:sz w:val="28"/>
          <w:szCs w:val="28"/>
        </w:rPr>
        <w:t xml:space="preserve"> «О</w:t>
      </w:r>
      <w:r w:rsidR="00840FD1">
        <w:rPr>
          <w:rFonts w:ascii="Times New Roman" w:hAnsi="Times New Roman"/>
          <w:sz w:val="28"/>
          <w:szCs w:val="28"/>
        </w:rPr>
        <w:t>б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977039">
        <w:rPr>
          <w:rFonts w:ascii="Times New Roman" w:hAnsi="Times New Roman"/>
          <w:sz w:val="28"/>
          <w:szCs w:val="28"/>
        </w:rPr>
        <w:t>анализе</w:t>
      </w:r>
      <w:r w:rsidR="001B49D3" w:rsidRPr="001B49D3">
        <w:rPr>
          <w:rFonts w:ascii="Times New Roman" w:hAnsi="Times New Roman"/>
          <w:sz w:val="28"/>
          <w:szCs w:val="28"/>
        </w:rPr>
        <w:t xml:space="preserve">  отчета об исполнении бюджета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A07394">
        <w:rPr>
          <w:rFonts w:ascii="Times New Roman" w:hAnsi="Times New Roman"/>
          <w:sz w:val="28"/>
          <w:szCs w:val="28"/>
        </w:rPr>
        <w:t xml:space="preserve"> сельсовета</w:t>
      </w:r>
      <w:r w:rsidR="001B49D3" w:rsidRPr="001B49D3">
        <w:rPr>
          <w:rFonts w:ascii="Times New Roman" w:hAnsi="Times New Roman"/>
          <w:sz w:val="28"/>
          <w:szCs w:val="28"/>
        </w:rPr>
        <w:t xml:space="preserve"> Каменского района Алтайского края за I квартал 2024 года»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EA551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1 квартал 2024 года» передано в контрольно-счетную палату для сведения.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250F63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250F63" w:rsidRPr="00250F63" w:rsidRDefault="00250F63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Default="006D38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 </w:t>
      </w:r>
      <w:r w:rsidRPr="00250F63">
        <w:rPr>
          <w:rFonts w:ascii="Times New Roman" w:hAnsi="Times New Roman"/>
          <w:b/>
          <w:sz w:val="28"/>
          <w:szCs w:val="28"/>
        </w:rPr>
        <w:t>Согласно ст. 264.7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Бюджетного кодекса к отчету об исполнении бюджета</w:t>
      </w:r>
      <w:r w:rsidR="007E5079" w:rsidRPr="00250F63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 w:rsidRPr="00250F63">
        <w:rPr>
          <w:rFonts w:ascii="Times New Roman" w:hAnsi="Times New Roman"/>
          <w:b/>
          <w:sz w:val="28"/>
          <w:szCs w:val="28"/>
        </w:rPr>
        <w:t>ена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информация об использовании средств резервного фонда; информация об использовании средств дорожного фонда</w:t>
      </w:r>
      <w:r w:rsidR="00250F63">
        <w:rPr>
          <w:rFonts w:ascii="Times New Roman" w:hAnsi="Times New Roman"/>
          <w:b/>
          <w:sz w:val="28"/>
          <w:szCs w:val="28"/>
        </w:rPr>
        <w:t>; информация о муниципальном долге.</w:t>
      </w:r>
    </w:p>
    <w:p w:rsidR="00EA5516" w:rsidRPr="00EA5516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5516" w:rsidRPr="00250F63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250F63">
        <w:rPr>
          <w:rFonts w:ascii="Times New Roman" w:hAnsi="Times New Roman"/>
          <w:b/>
          <w:sz w:val="28"/>
          <w:szCs w:val="28"/>
        </w:rPr>
        <w:t>15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E563A7" w:rsidRPr="001E6F7F">
        <w:rPr>
          <w:rFonts w:ascii="Times New Roman" w:hAnsi="Times New Roman"/>
          <w:b/>
          <w:sz w:val="28"/>
          <w:szCs w:val="28"/>
        </w:rPr>
        <w:t>мая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по </w:t>
      </w:r>
      <w:r w:rsidR="00E563A7" w:rsidRPr="001E6F7F">
        <w:rPr>
          <w:rFonts w:ascii="Times New Roman" w:hAnsi="Times New Roman"/>
          <w:b/>
          <w:sz w:val="28"/>
          <w:szCs w:val="28"/>
        </w:rPr>
        <w:t>1</w:t>
      </w:r>
      <w:r w:rsidR="009C0409">
        <w:rPr>
          <w:rFonts w:ascii="Times New Roman" w:hAnsi="Times New Roman"/>
          <w:b/>
          <w:sz w:val="28"/>
          <w:szCs w:val="28"/>
        </w:rPr>
        <w:t>6</w:t>
      </w:r>
      <w:r w:rsidRPr="001E6F7F">
        <w:rPr>
          <w:rFonts w:ascii="Times New Roman" w:hAnsi="Times New Roman"/>
          <w:b/>
          <w:sz w:val="28"/>
          <w:szCs w:val="28"/>
        </w:rPr>
        <w:t xml:space="preserve"> ма</w:t>
      </w:r>
      <w:r w:rsidR="00E563A7" w:rsidRPr="001E6F7F">
        <w:rPr>
          <w:rFonts w:ascii="Times New Roman" w:hAnsi="Times New Roman"/>
          <w:b/>
          <w:sz w:val="28"/>
          <w:szCs w:val="28"/>
        </w:rPr>
        <w:t>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C0409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proofErr w:type="spellStart"/>
      <w:r w:rsidR="002E37E8">
        <w:rPr>
          <w:rFonts w:ascii="Times New Roman" w:hAnsi="Times New Roman"/>
          <w:b/>
          <w:sz w:val="28"/>
          <w:szCs w:val="28"/>
        </w:rPr>
        <w:t>Попереченского</w:t>
      </w:r>
      <w:proofErr w:type="spellEnd"/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6F70" w:rsidRDefault="00F42A32" w:rsidP="00556F7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Администрации </w:t>
      </w:r>
      <w:proofErr w:type="spellStart"/>
      <w:r w:rsidR="00556F70" w:rsidRPr="00556F70">
        <w:rPr>
          <w:rFonts w:ascii="Times New Roman" w:hAnsi="Times New Roman"/>
          <w:sz w:val="28"/>
          <w:szCs w:val="28"/>
          <w:lang w:eastAsia="ru-RU"/>
        </w:rPr>
        <w:t>Попереченского</w:t>
      </w:r>
      <w:proofErr w:type="spellEnd"/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711A" w:rsidRDefault="006D5E5F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2E37E8">
        <w:rPr>
          <w:rFonts w:ascii="Times New Roman" w:hAnsi="Times New Roman"/>
          <w:sz w:val="28"/>
          <w:szCs w:val="28"/>
          <w:lang w:eastAsia="ru-RU"/>
        </w:rPr>
        <w:t>Попереченского</w:t>
      </w:r>
      <w:proofErr w:type="spellEnd"/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2E37E8">
        <w:rPr>
          <w:rFonts w:ascii="Times New Roman" w:hAnsi="Times New Roman"/>
          <w:sz w:val="28"/>
          <w:szCs w:val="28"/>
          <w:lang w:eastAsia="ru-RU"/>
        </w:rPr>
        <w:t>Попереченского</w:t>
      </w:r>
      <w:proofErr w:type="spellEnd"/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2</w:t>
      </w:r>
      <w:r w:rsidR="00556F70">
        <w:rPr>
          <w:rFonts w:ascii="Times New Roman" w:hAnsi="Times New Roman"/>
          <w:sz w:val="28"/>
          <w:szCs w:val="28"/>
          <w:lang w:eastAsia="ru-RU"/>
        </w:rPr>
        <w:t>1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>30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3 014,8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556F70">
        <w:rPr>
          <w:rFonts w:ascii="Times New Roman" w:hAnsi="Times New Roman"/>
          <w:sz w:val="28"/>
          <w:szCs w:val="28"/>
          <w:lang w:eastAsia="ru-RU"/>
        </w:rPr>
        <w:t>1487,8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556F70">
        <w:rPr>
          <w:rFonts w:ascii="Times New Roman" w:hAnsi="Times New Roman"/>
          <w:sz w:val="28"/>
          <w:szCs w:val="28"/>
          <w:lang w:eastAsia="ru-RU"/>
        </w:rPr>
        <w:t>3167,5</w:t>
      </w:r>
      <w:r w:rsidR="00BB3863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556F70">
        <w:rPr>
          <w:rFonts w:ascii="Times New Roman" w:hAnsi="Times New Roman"/>
          <w:sz w:val="28"/>
          <w:szCs w:val="28"/>
          <w:lang w:eastAsia="ru-RU"/>
        </w:rPr>
        <w:t>152,78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С учетом изменений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от 29.03.2024 №6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внесенных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в решение </w:t>
      </w:r>
      <w:proofErr w:type="spellStart"/>
      <w:r w:rsidR="00556F70" w:rsidRPr="00556F70">
        <w:rPr>
          <w:rFonts w:ascii="Times New Roman" w:hAnsi="Times New Roman"/>
          <w:sz w:val="28"/>
          <w:szCs w:val="28"/>
          <w:lang w:eastAsia="ru-RU"/>
        </w:rPr>
        <w:t>Попереченского</w:t>
      </w:r>
      <w:proofErr w:type="spellEnd"/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21.12.2023 № 30 «О бюджете муниципального образования </w:t>
      </w:r>
      <w:proofErr w:type="spellStart"/>
      <w:r w:rsidR="00556F70" w:rsidRPr="00556F70">
        <w:rPr>
          <w:rFonts w:ascii="Times New Roman" w:hAnsi="Times New Roman"/>
          <w:sz w:val="28"/>
          <w:szCs w:val="28"/>
          <w:lang w:eastAsia="ru-RU"/>
        </w:rPr>
        <w:t>Попереченский</w:t>
      </w:r>
      <w:proofErr w:type="spellEnd"/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56F70">
        <w:rPr>
          <w:rFonts w:ascii="Times New Roman" w:hAnsi="Times New Roman"/>
          <w:sz w:val="28"/>
          <w:szCs w:val="28"/>
          <w:lang w:eastAsia="ru-RU"/>
        </w:rPr>
        <w:lastRenderedPageBreak/>
        <w:t>общий объем доходов увеличился на 1518,9 тыс. рублей и составил 4533,7 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4533,7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A22E5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960,1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A22E5">
              <w:rPr>
                <w:rFonts w:ascii="Times New Roman" w:hAnsi="Times New Roman"/>
                <w:b/>
                <w:sz w:val="18"/>
                <w:szCs w:val="18"/>
              </w:rPr>
              <w:t>3573,6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A2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21,2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A22E5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A22E5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466B6C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A22E5">
              <w:rPr>
                <w:rFonts w:ascii="Times New Roman" w:hAnsi="Times New Roman"/>
                <w:b/>
                <w:sz w:val="18"/>
                <w:szCs w:val="18"/>
              </w:rPr>
              <w:t>1173,4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BA2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23,2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A22E5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955572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A22E5">
              <w:rPr>
                <w:rFonts w:ascii="Times New Roman" w:hAnsi="Times New Roman"/>
                <w:b/>
                <w:sz w:val="18"/>
                <w:szCs w:val="18"/>
              </w:rPr>
              <w:t>916,5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A2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22,5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6A119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8C457F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A22E5">
              <w:rPr>
                <w:rFonts w:ascii="Times New Roman" w:hAnsi="Times New Roman"/>
                <w:b/>
                <w:sz w:val="18"/>
                <w:szCs w:val="18"/>
              </w:rPr>
              <w:t>151,7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A2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3,9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A22E5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BA22E5">
              <w:rPr>
                <w:rFonts w:ascii="Times New Roman" w:hAnsi="Times New Roman"/>
                <w:b/>
                <w:sz w:val="18"/>
                <w:szCs w:val="18"/>
              </w:rPr>
              <w:t>2400,2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A22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20,2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за 1 квартал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685379">
        <w:rPr>
          <w:rFonts w:ascii="Times New Roman" w:eastAsia="Times New Roman" w:hAnsi="Times New Roman"/>
          <w:sz w:val="28"/>
          <w:szCs w:val="28"/>
          <w:lang w:eastAsia="ru-RU"/>
        </w:rPr>
        <w:t>23,2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685379">
        <w:rPr>
          <w:rFonts w:ascii="Times New Roman" w:eastAsia="Times New Roman" w:hAnsi="Times New Roman"/>
          <w:sz w:val="28"/>
          <w:szCs w:val="28"/>
          <w:lang w:eastAsia="ru-RU"/>
        </w:rPr>
        <w:t>353,6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379">
        <w:rPr>
          <w:rFonts w:ascii="Times New Roman" w:eastAsia="Times New Roman" w:hAnsi="Times New Roman"/>
          <w:sz w:val="28"/>
          <w:szCs w:val="28"/>
          <w:lang w:eastAsia="ru-RU"/>
        </w:rPr>
        <w:t>22,5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685379">
        <w:rPr>
          <w:rFonts w:ascii="Times New Roman" w:eastAsia="Times New Roman" w:hAnsi="Times New Roman"/>
          <w:sz w:val="28"/>
          <w:szCs w:val="28"/>
          <w:lang w:eastAsia="ru-RU"/>
        </w:rPr>
        <w:t>266,5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выполнен на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3,9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>,3 тыс.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5379">
        <w:rPr>
          <w:rFonts w:ascii="Times New Roman" w:eastAsia="Times New Roman" w:hAnsi="Times New Roman"/>
          <w:sz w:val="28"/>
          <w:szCs w:val="28"/>
          <w:lang w:eastAsia="ru-RU"/>
        </w:rPr>
        <w:t>20,2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685379">
        <w:rPr>
          <w:rFonts w:ascii="Times New Roman" w:eastAsia="Times New Roman" w:hAnsi="Times New Roman"/>
          <w:sz w:val="28"/>
          <w:szCs w:val="28"/>
          <w:lang w:eastAsia="ru-RU"/>
        </w:rPr>
        <w:t>606,5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за 1 квартал 2023 года выполнена на </w:t>
      </w:r>
      <w:r w:rsidR="00F96AB4">
        <w:rPr>
          <w:rFonts w:ascii="Times New Roman" w:eastAsia="Times New Roman" w:hAnsi="Times New Roman"/>
          <w:sz w:val="28"/>
          <w:szCs w:val="28"/>
          <w:lang w:eastAsia="ru-RU"/>
        </w:rPr>
        <w:t>21,2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 и составила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AB4">
        <w:rPr>
          <w:rFonts w:ascii="Times New Roman" w:eastAsia="Times New Roman" w:hAnsi="Times New Roman"/>
          <w:sz w:val="28"/>
          <w:szCs w:val="28"/>
          <w:lang w:eastAsia="ru-RU"/>
        </w:rPr>
        <w:t>960,1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26AF" w:rsidRPr="00B633DA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3006,7</w:t>
            </w:r>
          </w:p>
        </w:tc>
        <w:tc>
          <w:tcPr>
            <w:tcW w:w="1556" w:type="dxa"/>
            <w:vAlign w:val="center"/>
          </w:tcPr>
          <w:p w:rsidR="00B633DA" w:rsidRPr="007E507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606,5</w:t>
            </w:r>
          </w:p>
        </w:tc>
        <w:tc>
          <w:tcPr>
            <w:tcW w:w="956" w:type="dxa"/>
            <w:vAlign w:val="center"/>
          </w:tcPr>
          <w:p w:rsidR="00B633DA" w:rsidRPr="007E507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20,2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5CE" w:rsidRPr="004C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7E5079" w:rsidRDefault="00641C81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66,3</w:t>
            </w:r>
          </w:p>
        </w:tc>
        <w:tc>
          <w:tcPr>
            <w:tcW w:w="1556" w:type="dxa"/>
            <w:vAlign w:val="center"/>
          </w:tcPr>
          <w:p w:rsidR="00B633DA" w:rsidRPr="004F5343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956" w:type="dxa"/>
            <w:vAlign w:val="center"/>
          </w:tcPr>
          <w:p w:rsidR="00B633DA" w:rsidRPr="007E507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158,0</w:t>
            </w:r>
          </w:p>
        </w:tc>
        <w:tc>
          <w:tcPr>
            <w:tcW w:w="1556" w:type="dxa"/>
            <w:vAlign w:val="center"/>
          </w:tcPr>
          <w:p w:rsidR="00B633DA" w:rsidRPr="004F5343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956" w:type="dxa"/>
            <w:vAlign w:val="center"/>
          </w:tcPr>
          <w:p w:rsidR="00B633DA" w:rsidRPr="007E507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20,9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1441,4</w:t>
            </w:r>
          </w:p>
        </w:tc>
        <w:tc>
          <w:tcPr>
            <w:tcW w:w="1556" w:type="dxa"/>
            <w:vAlign w:val="center"/>
          </w:tcPr>
          <w:p w:rsidR="00F82736" w:rsidRPr="004F5343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956" w:type="dxa"/>
            <w:vAlign w:val="center"/>
          </w:tcPr>
          <w:p w:rsidR="00F82736" w:rsidRPr="00B8176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1341,0</w:t>
            </w:r>
          </w:p>
        </w:tc>
        <w:tc>
          <w:tcPr>
            <w:tcW w:w="1556" w:type="dxa"/>
            <w:vAlign w:val="center"/>
          </w:tcPr>
          <w:p w:rsidR="00B95298" w:rsidRPr="004F5343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442,1</w:t>
            </w:r>
          </w:p>
        </w:tc>
        <w:tc>
          <w:tcPr>
            <w:tcW w:w="956" w:type="dxa"/>
            <w:vAlign w:val="center"/>
          </w:tcPr>
          <w:p w:rsidR="00B95298" w:rsidRPr="00B81769" w:rsidRDefault="00641C8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32,9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сельского поселения за 1 квартал 2024 года по доходам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960,1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21,2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утвержденного годового плана.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доходов за 1 квартал 2024 года поступило в бюджет сельского поселения </w:t>
      </w:r>
      <w:r w:rsidR="00657E72">
        <w:rPr>
          <w:rFonts w:ascii="Times New Roman" w:eastAsia="Times New Roman" w:hAnsi="Times New Roman"/>
          <w:sz w:val="28"/>
          <w:szCs w:val="28"/>
          <w:lang w:eastAsia="ru-RU"/>
        </w:rPr>
        <w:t>266,5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657E72">
        <w:rPr>
          <w:rFonts w:ascii="Times New Roman" w:eastAsia="Times New Roman" w:hAnsi="Times New Roman"/>
          <w:sz w:val="28"/>
          <w:szCs w:val="28"/>
          <w:lang w:eastAsia="ru-RU"/>
        </w:rPr>
        <w:t>22,5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Неналоговых доходов за 1 квартал 2024 года поступило в бюджет сельского поселения </w:t>
      </w:r>
      <w:r w:rsidR="00657E72">
        <w:rPr>
          <w:rFonts w:ascii="Times New Roman" w:eastAsia="Times New Roman" w:hAnsi="Times New Roman"/>
          <w:sz w:val="28"/>
          <w:szCs w:val="28"/>
          <w:lang w:eastAsia="ru-RU"/>
        </w:rPr>
        <w:t>87,1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657E72">
        <w:rPr>
          <w:rFonts w:ascii="Times New Roman" w:eastAsia="Times New Roman" w:hAnsi="Times New Roman"/>
          <w:sz w:val="28"/>
          <w:szCs w:val="28"/>
          <w:lang w:eastAsia="ru-RU"/>
        </w:rPr>
        <w:t>25,3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утвержденных годовых назначений.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95298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-межбюджетных трансфертов</w:t>
      </w:r>
      <w:r w:rsidR="00605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C36" w:rsidRPr="00FB008D" w:rsidRDefault="00605C36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63D" w:rsidRDefault="00582607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Pr="00582607">
        <w:rPr>
          <w:rStyle w:val="a7"/>
          <w:rFonts w:ascii="Times New Roman" w:hAnsi="Times New Roman"/>
          <w:sz w:val="28"/>
          <w:szCs w:val="28"/>
        </w:rPr>
        <w:t>Попереченского</w:t>
      </w:r>
      <w:proofErr w:type="spellEnd"/>
      <w:r w:rsidRPr="00582607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21.12.2023 № 30</w:t>
      </w:r>
      <w:r>
        <w:rPr>
          <w:rStyle w:val="a7"/>
          <w:rFonts w:ascii="Times New Roman" w:hAnsi="Times New Roman"/>
          <w:sz w:val="28"/>
          <w:szCs w:val="28"/>
        </w:rPr>
        <w:t xml:space="preserve"> утвержден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 </w:t>
      </w:r>
      <w:r>
        <w:rPr>
          <w:rStyle w:val="a7"/>
          <w:rFonts w:ascii="Times New Roman" w:hAnsi="Times New Roman"/>
          <w:sz w:val="28"/>
          <w:szCs w:val="28"/>
        </w:rPr>
        <w:t>о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бщий объем  </w:t>
      </w:r>
      <w:r>
        <w:rPr>
          <w:rStyle w:val="a7"/>
          <w:rFonts w:ascii="Times New Roman" w:hAnsi="Times New Roman"/>
          <w:sz w:val="28"/>
          <w:szCs w:val="28"/>
        </w:rPr>
        <w:t xml:space="preserve">расходов 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в сумме </w:t>
      </w:r>
      <w:r>
        <w:rPr>
          <w:rStyle w:val="a7"/>
          <w:rFonts w:ascii="Times New Roman" w:hAnsi="Times New Roman"/>
          <w:sz w:val="28"/>
          <w:szCs w:val="28"/>
        </w:rPr>
        <w:t>3167,5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тыс. рублей</w:t>
      </w:r>
      <w:r>
        <w:rPr>
          <w:rStyle w:val="a7"/>
          <w:rFonts w:ascii="Times New Roman" w:hAnsi="Times New Roman"/>
          <w:sz w:val="28"/>
          <w:szCs w:val="28"/>
        </w:rPr>
        <w:t>.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С учетом изменений </w:t>
      </w:r>
      <w:r w:rsidR="00DC61FE">
        <w:rPr>
          <w:rStyle w:val="a7"/>
          <w:rFonts w:ascii="Times New Roman" w:hAnsi="Times New Roman"/>
          <w:sz w:val="28"/>
          <w:szCs w:val="28"/>
        </w:rPr>
        <w:t xml:space="preserve">(решение </w:t>
      </w:r>
      <w:r w:rsidRPr="00582607">
        <w:rPr>
          <w:rStyle w:val="a7"/>
          <w:rFonts w:ascii="Times New Roman" w:hAnsi="Times New Roman"/>
          <w:sz w:val="28"/>
          <w:szCs w:val="28"/>
        </w:rPr>
        <w:t>от 29.03.2024 №</w:t>
      </w:r>
      <w:r w:rsidR="00DC61FE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582607">
        <w:rPr>
          <w:rStyle w:val="a7"/>
          <w:rFonts w:ascii="Times New Roman" w:hAnsi="Times New Roman"/>
          <w:sz w:val="28"/>
          <w:szCs w:val="28"/>
        </w:rPr>
        <w:t>6</w:t>
      </w:r>
      <w:r w:rsidR="00DC61FE">
        <w:rPr>
          <w:rStyle w:val="a7"/>
          <w:rFonts w:ascii="Times New Roman" w:hAnsi="Times New Roman"/>
          <w:sz w:val="28"/>
          <w:szCs w:val="28"/>
        </w:rPr>
        <w:t xml:space="preserve">) 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внесенных в решение </w:t>
      </w:r>
      <w:proofErr w:type="spellStart"/>
      <w:r w:rsidRPr="00582607">
        <w:rPr>
          <w:rStyle w:val="a7"/>
          <w:rFonts w:ascii="Times New Roman" w:hAnsi="Times New Roman"/>
          <w:sz w:val="28"/>
          <w:szCs w:val="28"/>
        </w:rPr>
        <w:t>Попереченского</w:t>
      </w:r>
      <w:proofErr w:type="spellEnd"/>
      <w:r w:rsidRPr="00582607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21.12.2023 № 30 «О бюджете муниципального образования </w:t>
      </w:r>
      <w:proofErr w:type="spellStart"/>
      <w:r w:rsidRPr="00582607">
        <w:rPr>
          <w:rStyle w:val="a7"/>
          <w:rFonts w:ascii="Times New Roman" w:hAnsi="Times New Roman"/>
          <w:sz w:val="28"/>
          <w:szCs w:val="28"/>
        </w:rPr>
        <w:t>Попереченский</w:t>
      </w:r>
      <w:proofErr w:type="spellEnd"/>
      <w:r w:rsidRPr="00582607">
        <w:rPr>
          <w:rStyle w:val="a7"/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годов», общий объем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увеличился на </w:t>
      </w:r>
      <w:r>
        <w:rPr>
          <w:rStyle w:val="a7"/>
          <w:rFonts w:ascii="Times New Roman" w:hAnsi="Times New Roman"/>
          <w:sz w:val="28"/>
          <w:szCs w:val="28"/>
        </w:rPr>
        <w:t>1570,7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тыс. рублей и составил </w:t>
      </w:r>
      <w:r>
        <w:rPr>
          <w:rStyle w:val="a7"/>
          <w:rFonts w:ascii="Times New Roman" w:hAnsi="Times New Roman"/>
          <w:sz w:val="28"/>
          <w:szCs w:val="28"/>
        </w:rPr>
        <w:t>4738,2</w:t>
      </w:r>
      <w:r w:rsidRPr="00582607">
        <w:rPr>
          <w:rStyle w:val="a7"/>
          <w:rFonts w:ascii="Times New Roman" w:hAnsi="Times New Roman"/>
          <w:sz w:val="28"/>
          <w:szCs w:val="28"/>
        </w:rPr>
        <w:t xml:space="preserve"> тыс. рублей.</w:t>
      </w:r>
    </w:p>
    <w:p w:rsidR="00DC61FE" w:rsidRPr="003A13B4" w:rsidRDefault="00DC61FE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 Д</w:t>
      </w:r>
      <w:r w:rsidRPr="00DC61FE">
        <w:rPr>
          <w:rStyle w:val="a7"/>
          <w:rFonts w:ascii="Times New Roman" w:hAnsi="Times New Roman"/>
          <w:sz w:val="28"/>
          <w:szCs w:val="28"/>
        </w:rPr>
        <w:t>ефицит бюджета сельского поселения</w:t>
      </w:r>
      <w:r>
        <w:rPr>
          <w:rStyle w:val="a7"/>
          <w:rFonts w:ascii="Times New Roman" w:hAnsi="Times New Roman"/>
          <w:sz w:val="28"/>
          <w:szCs w:val="28"/>
        </w:rPr>
        <w:t xml:space="preserve"> с учетом изменений составил</w:t>
      </w:r>
      <w:r w:rsidRPr="00DC61FE">
        <w:rPr>
          <w:rStyle w:val="a7"/>
          <w:rFonts w:ascii="Times New Roman" w:hAnsi="Times New Roman"/>
          <w:sz w:val="28"/>
          <w:szCs w:val="28"/>
        </w:rPr>
        <w:t xml:space="preserve"> в сумме 204,5 тыс. рублей.</w:t>
      </w: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DC61FE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4738,2</w:t>
            </w:r>
          </w:p>
        </w:tc>
        <w:tc>
          <w:tcPr>
            <w:tcW w:w="1701" w:type="dxa"/>
            <w:vAlign w:val="center"/>
          </w:tcPr>
          <w:p w:rsidR="0097486A" w:rsidRPr="00E0163D" w:rsidRDefault="00DC61FE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894,6</w:t>
            </w:r>
          </w:p>
        </w:tc>
        <w:tc>
          <w:tcPr>
            <w:tcW w:w="1559" w:type="dxa"/>
            <w:vAlign w:val="center"/>
          </w:tcPr>
          <w:p w:rsidR="0097486A" w:rsidRPr="00E0163D" w:rsidRDefault="0097486A" w:rsidP="00DC6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DC61FE">
              <w:rPr>
                <w:rFonts w:ascii="Times New Roman" w:hAnsi="Times New Roman"/>
                <w:b/>
                <w:bCs/>
                <w:sz w:val="28"/>
                <w:szCs w:val="28"/>
              </w:rPr>
              <w:t>3843,6</w:t>
            </w:r>
          </w:p>
        </w:tc>
        <w:tc>
          <w:tcPr>
            <w:tcW w:w="1843" w:type="dxa"/>
            <w:vAlign w:val="center"/>
          </w:tcPr>
          <w:p w:rsidR="0097486A" w:rsidRPr="00E0163D" w:rsidRDefault="00DC61FE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DC61FE" w:rsidRDefault="00DC61FE" w:rsidP="00CC2C8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61FE">
              <w:rPr>
                <w:rFonts w:ascii="Times New Roman" w:hAnsi="Times New Roman"/>
                <w:sz w:val="28"/>
                <w:szCs w:val="28"/>
                <w:highlight w:val="yellow"/>
              </w:rPr>
              <w:t>4738,2</w:t>
            </w:r>
          </w:p>
        </w:tc>
        <w:tc>
          <w:tcPr>
            <w:tcW w:w="1701" w:type="dxa"/>
            <w:vAlign w:val="center"/>
          </w:tcPr>
          <w:p w:rsidR="0097486A" w:rsidRPr="00DC61FE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894,6</w:t>
            </w:r>
          </w:p>
        </w:tc>
        <w:tc>
          <w:tcPr>
            <w:tcW w:w="1559" w:type="dxa"/>
            <w:vAlign w:val="center"/>
          </w:tcPr>
          <w:p w:rsidR="0097486A" w:rsidRPr="00DC61FE" w:rsidRDefault="001A4C02" w:rsidP="005C6D17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DC61FE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-</w:t>
            </w:r>
            <w:r w:rsidR="005C6D17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3843,6</w:t>
            </w:r>
          </w:p>
        </w:tc>
        <w:tc>
          <w:tcPr>
            <w:tcW w:w="1843" w:type="dxa"/>
            <w:vAlign w:val="center"/>
          </w:tcPr>
          <w:p w:rsidR="0097486A" w:rsidRPr="00DC61FE" w:rsidRDefault="005C6D17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18,9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158,0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1559" w:type="dxa"/>
            <w:vAlign w:val="center"/>
          </w:tcPr>
          <w:p w:rsidR="0097486A" w:rsidRPr="00E0163D" w:rsidRDefault="00A0113F" w:rsidP="005C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5C6D17">
              <w:rPr>
                <w:rFonts w:ascii="Times New Roman" w:hAnsi="Times New Roman"/>
                <w:sz w:val="28"/>
                <w:szCs w:val="28"/>
              </w:rPr>
              <w:t>146,3</w:t>
            </w:r>
          </w:p>
        </w:tc>
        <w:tc>
          <w:tcPr>
            <w:tcW w:w="1843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9445F" w:rsidRPr="00E0163D" w:rsidRDefault="0049445F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1440,4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559" w:type="dxa"/>
            <w:vAlign w:val="center"/>
          </w:tcPr>
          <w:p w:rsidR="0097486A" w:rsidRPr="00E0163D" w:rsidRDefault="005E27EE" w:rsidP="005C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C6D17">
              <w:rPr>
                <w:rFonts w:ascii="Times New Roman" w:hAnsi="Times New Roman"/>
                <w:sz w:val="28"/>
                <w:szCs w:val="28"/>
              </w:rPr>
              <w:t>1332,4</w:t>
            </w:r>
          </w:p>
        </w:tc>
        <w:tc>
          <w:tcPr>
            <w:tcW w:w="1843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1559" w:type="dxa"/>
            <w:vAlign w:val="center"/>
          </w:tcPr>
          <w:p w:rsidR="0097486A" w:rsidRPr="00E0163D" w:rsidRDefault="005C6D17" w:rsidP="005E2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-87,8</w:t>
            </w:r>
          </w:p>
        </w:tc>
        <w:tc>
          <w:tcPr>
            <w:tcW w:w="1843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741,4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139,0</w:t>
            </w:r>
          </w:p>
        </w:tc>
        <w:tc>
          <w:tcPr>
            <w:tcW w:w="1559" w:type="dxa"/>
            <w:vAlign w:val="center"/>
          </w:tcPr>
          <w:p w:rsidR="0097486A" w:rsidRPr="00E0163D" w:rsidRDefault="00506EC1" w:rsidP="005C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5C6D17">
              <w:rPr>
                <w:rFonts w:ascii="Times New Roman" w:hAnsi="Times New Roman"/>
                <w:sz w:val="28"/>
                <w:szCs w:val="28"/>
              </w:rPr>
              <w:t>602,4</w:t>
            </w:r>
          </w:p>
        </w:tc>
        <w:tc>
          <w:tcPr>
            <w:tcW w:w="1843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C575A0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center"/>
          </w:tcPr>
          <w:p w:rsidR="0097486A" w:rsidRPr="00E0163D" w:rsidRDefault="00AA3085" w:rsidP="005C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5C6D17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843" w:type="dxa"/>
            <w:vAlign w:val="center"/>
          </w:tcPr>
          <w:p w:rsidR="0097486A" w:rsidRPr="00E0163D" w:rsidRDefault="005C6D1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5E27EE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C6D1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F64A3" w:rsidRPr="00E0163D" w:rsidRDefault="0074083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4F64A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E0163D" w:rsidRDefault="00506EC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Pr="00085DA3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6A09C7">
        <w:rPr>
          <w:rFonts w:ascii="Times New Roman" w:hAnsi="Times New Roman"/>
          <w:b/>
          <w:sz w:val="28"/>
          <w:szCs w:val="28"/>
        </w:rPr>
        <w:t>4738,2</w:t>
      </w:r>
      <w:r w:rsidR="00CA64BE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6A09C7">
        <w:rPr>
          <w:rFonts w:ascii="Times New Roman" w:hAnsi="Times New Roman"/>
          <w:b/>
          <w:sz w:val="28"/>
          <w:szCs w:val="28"/>
        </w:rPr>
        <w:t>894,6</w:t>
      </w:r>
      <w:r w:rsidR="00153BFE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>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8B321D">
        <w:rPr>
          <w:rFonts w:ascii="Times New Roman" w:hAnsi="Times New Roman"/>
          <w:b/>
          <w:sz w:val="28"/>
          <w:szCs w:val="28"/>
        </w:rPr>
        <w:t>3843,6</w:t>
      </w:r>
      <w:r w:rsidR="00153BFE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ей или </w:t>
      </w:r>
      <w:r w:rsidR="008B321D">
        <w:rPr>
          <w:rFonts w:ascii="Times New Roman" w:hAnsi="Times New Roman"/>
          <w:b/>
          <w:sz w:val="28"/>
          <w:szCs w:val="28"/>
        </w:rPr>
        <w:t>81,1</w:t>
      </w:r>
      <w:r w:rsidR="00DA2376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>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3B231B" w:rsidRPr="00085DA3" w:rsidRDefault="003B231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>
        <w:rPr>
          <w:rFonts w:ascii="Times New Roman" w:hAnsi="Times New Roman"/>
          <w:sz w:val="28"/>
          <w:szCs w:val="28"/>
          <w:lang w:eastAsia="ru-RU"/>
        </w:rPr>
        <w:t>-</w:t>
      </w:r>
      <w:r w:rsidR="006A09C7">
        <w:rPr>
          <w:rFonts w:ascii="Times New Roman" w:hAnsi="Times New Roman"/>
          <w:sz w:val="28"/>
          <w:szCs w:val="28"/>
          <w:lang w:eastAsia="ru-RU"/>
        </w:rPr>
        <w:t>65,5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31B" w:rsidRPr="003B231B" w:rsidRDefault="003B231B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231B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исполнения расходной части в разрезе разделов бюджетной классификации за 1 квартал в 2024 году показал,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B23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что </w:t>
      </w:r>
      <w:proofErr w:type="gramStart"/>
      <w:r w:rsidRPr="003B231B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  <w:proofErr w:type="gramEnd"/>
      <w:r w:rsidRPr="003B23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представленные в отчет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разделе «расходы»</w:t>
      </w:r>
      <w:r w:rsidRPr="003B23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имеют ряд неточностей.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именно: Всего расходов= сумме разделов (01+02+03+04+05+08+10+11). Искажение данных отчета влечет за собой неверные  показатели исполнения расходов бюджета в разрезе разделов.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proofErr w:type="spellStart"/>
      <w:r w:rsidR="002E37E8">
        <w:rPr>
          <w:rFonts w:ascii="Times New Roman" w:hAnsi="Times New Roman"/>
          <w:b/>
          <w:sz w:val="28"/>
          <w:szCs w:val="28"/>
        </w:rPr>
        <w:t>Попереченского</w:t>
      </w:r>
      <w:proofErr w:type="spellEnd"/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7537BF" w:rsidRPr="007537BF">
        <w:rPr>
          <w:rFonts w:ascii="Times New Roman" w:hAnsi="Times New Roman"/>
          <w:sz w:val="28"/>
          <w:szCs w:val="28"/>
        </w:rPr>
        <w:t>В составе отчета об исполнении бюджета за 1 квартал 202</w:t>
      </w:r>
      <w:r w:rsidR="007537BF">
        <w:rPr>
          <w:rFonts w:ascii="Times New Roman" w:hAnsi="Times New Roman"/>
          <w:sz w:val="28"/>
          <w:szCs w:val="28"/>
        </w:rPr>
        <w:t>4</w:t>
      </w:r>
      <w:r w:rsidR="007537BF" w:rsidRPr="007537BF">
        <w:rPr>
          <w:rFonts w:ascii="Times New Roman" w:hAnsi="Times New Roman"/>
          <w:sz w:val="28"/>
          <w:szCs w:val="28"/>
        </w:rPr>
        <w:t xml:space="preserve"> года </w:t>
      </w:r>
      <w:r w:rsidR="007537BF">
        <w:rPr>
          <w:rFonts w:ascii="Times New Roman" w:hAnsi="Times New Roman"/>
          <w:sz w:val="28"/>
          <w:szCs w:val="28"/>
        </w:rPr>
        <w:t xml:space="preserve">не </w:t>
      </w:r>
      <w:r w:rsidR="007537BF" w:rsidRPr="007537BF">
        <w:rPr>
          <w:rFonts w:ascii="Times New Roman" w:hAnsi="Times New Roman"/>
          <w:sz w:val="28"/>
          <w:szCs w:val="28"/>
        </w:rPr>
        <w:t>представлена</w:t>
      </w:r>
      <w:r w:rsidR="007537BF">
        <w:rPr>
          <w:rFonts w:ascii="Times New Roman" w:hAnsi="Times New Roman"/>
          <w:sz w:val="28"/>
          <w:szCs w:val="28"/>
        </w:rPr>
        <w:t xml:space="preserve"> </w:t>
      </w:r>
      <w:r w:rsidR="007537BF" w:rsidRPr="007537BF">
        <w:rPr>
          <w:rFonts w:ascii="Times New Roman" w:hAnsi="Times New Roman"/>
          <w:sz w:val="28"/>
          <w:szCs w:val="28"/>
        </w:rPr>
        <w:t>информация о расходовании средств резервного фонда администрации муниципального</w:t>
      </w:r>
      <w:r w:rsidR="007537BF">
        <w:rPr>
          <w:rFonts w:ascii="Times New Roman" w:hAnsi="Times New Roman"/>
          <w:sz w:val="28"/>
          <w:szCs w:val="28"/>
        </w:rPr>
        <w:t xml:space="preserve"> </w:t>
      </w:r>
      <w:r w:rsidR="007537BF" w:rsidRPr="007537BF">
        <w:rPr>
          <w:rFonts w:ascii="Times New Roman" w:hAnsi="Times New Roman"/>
          <w:sz w:val="28"/>
          <w:szCs w:val="28"/>
        </w:rPr>
        <w:t>образования</w:t>
      </w:r>
      <w:r w:rsidR="00753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="007537BF">
        <w:rPr>
          <w:rFonts w:ascii="Times New Roman" w:hAnsi="Times New Roman"/>
          <w:sz w:val="28"/>
          <w:szCs w:val="28"/>
        </w:rPr>
        <w:t xml:space="preserve"> сельсовет</w:t>
      </w:r>
      <w:r w:rsidR="00B92FBA" w:rsidRPr="007537BF">
        <w:rPr>
          <w:rFonts w:ascii="Times New Roman" w:hAnsi="Times New Roman"/>
          <w:sz w:val="28"/>
          <w:szCs w:val="28"/>
        </w:rPr>
        <w:t xml:space="preserve"> </w:t>
      </w:r>
      <w:r w:rsidR="007537BF">
        <w:rPr>
          <w:rFonts w:ascii="Times New Roman" w:hAnsi="Times New Roman"/>
          <w:sz w:val="28"/>
          <w:szCs w:val="28"/>
        </w:rPr>
        <w:t xml:space="preserve">Каменского района Алтайского края на 01.04.2024 года. </w:t>
      </w:r>
      <w:proofErr w:type="gramStart"/>
      <w:r w:rsidR="00153BFE" w:rsidRPr="00153BFE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153BFE" w:rsidRPr="00153BFE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="00153BFE" w:rsidRPr="00153BFE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153BFE">
        <w:rPr>
          <w:rFonts w:ascii="Times New Roman" w:hAnsi="Times New Roman"/>
          <w:sz w:val="28"/>
          <w:szCs w:val="28"/>
        </w:rPr>
        <w:t xml:space="preserve"> от</w:t>
      </w:r>
      <w:r w:rsidR="00153BFE" w:rsidRPr="00153BFE">
        <w:rPr>
          <w:rFonts w:ascii="Times New Roman" w:hAnsi="Times New Roman"/>
          <w:sz w:val="28"/>
          <w:szCs w:val="28"/>
        </w:rPr>
        <w:t xml:space="preserve"> 2</w:t>
      </w:r>
      <w:r w:rsidR="00D6061C">
        <w:rPr>
          <w:rFonts w:ascii="Times New Roman" w:hAnsi="Times New Roman"/>
          <w:sz w:val="28"/>
          <w:szCs w:val="28"/>
        </w:rPr>
        <w:t>1</w:t>
      </w:r>
      <w:r w:rsidR="00153BFE" w:rsidRPr="00153BFE">
        <w:rPr>
          <w:rFonts w:ascii="Times New Roman" w:hAnsi="Times New Roman"/>
          <w:sz w:val="28"/>
          <w:szCs w:val="28"/>
        </w:rPr>
        <w:t xml:space="preserve">.12.2023 № </w:t>
      </w:r>
      <w:r w:rsidR="003B231B">
        <w:rPr>
          <w:rFonts w:ascii="Times New Roman" w:hAnsi="Times New Roman"/>
          <w:sz w:val="28"/>
          <w:szCs w:val="28"/>
        </w:rPr>
        <w:t>30</w:t>
      </w:r>
      <w:r w:rsidR="00D6061C">
        <w:rPr>
          <w:rFonts w:ascii="Times New Roman" w:hAnsi="Times New Roman"/>
          <w:sz w:val="28"/>
          <w:szCs w:val="28"/>
        </w:rPr>
        <w:t xml:space="preserve"> (с учетом изменений от 29.03.2024 №6)</w:t>
      </w:r>
      <w:r w:rsidR="00153BFE" w:rsidRPr="00153BFE">
        <w:rPr>
          <w:rFonts w:ascii="Times New Roman" w:hAnsi="Times New Roman"/>
          <w:sz w:val="28"/>
          <w:szCs w:val="28"/>
        </w:rPr>
        <w:t xml:space="preserve">  утверждены плановые назначения</w:t>
      </w:r>
      <w:r w:rsidR="00153BF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резервного фонда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D6061C">
        <w:rPr>
          <w:rFonts w:ascii="Times New Roman" w:hAnsi="Times New Roman"/>
          <w:sz w:val="28"/>
          <w:szCs w:val="28"/>
        </w:rPr>
        <w:t>2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  <w:proofErr w:type="gramEnd"/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</w:t>
      </w:r>
      <w:r w:rsidR="00826736">
        <w:rPr>
          <w:rFonts w:ascii="Times New Roman" w:hAnsi="Times New Roman"/>
          <w:sz w:val="28"/>
          <w:szCs w:val="28"/>
        </w:rPr>
        <w:t>1</w:t>
      </w:r>
      <w:r w:rsidRPr="003E1C7A">
        <w:rPr>
          <w:rFonts w:ascii="Times New Roman" w:hAnsi="Times New Roman"/>
          <w:sz w:val="28"/>
          <w:szCs w:val="28"/>
        </w:rPr>
        <w:t xml:space="preserve">.12.2023 № </w:t>
      </w:r>
      <w:r w:rsidR="00826736">
        <w:rPr>
          <w:rFonts w:ascii="Times New Roman" w:hAnsi="Times New Roman"/>
          <w:sz w:val="28"/>
          <w:szCs w:val="28"/>
        </w:rPr>
        <w:t xml:space="preserve">30 (с учетом изменений от 29.03.2024 №6)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826736">
        <w:rPr>
          <w:rFonts w:ascii="Times New Roman" w:hAnsi="Times New Roman"/>
          <w:sz w:val="28"/>
          <w:szCs w:val="28"/>
        </w:rPr>
        <w:t>1440,4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826736">
        <w:rPr>
          <w:rFonts w:ascii="Times New Roman" w:hAnsi="Times New Roman"/>
          <w:sz w:val="28"/>
          <w:szCs w:val="28"/>
        </w:rPr>
        <w:t>108,0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826736">
        <w:rPr>
          <w:rFonts w:ascii="Times New Roman" w:hAnsi="Times New Roman"/>
          <w:sz w:val="28"/>
          <w:szCs w:val="28"/>
        </w:rPr>
        <w:t>7,5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826736">
        <w:rPr>
          <w:rFonts w:ascii="Times New Roman" w:hAnsi="Times New Roman"/>
          <w:sz w:val="28"/>
          <w:szCs w:val="28"/>
        </w:rPr>
        <w:t>1332,4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t>Бюджет сельского поселения на 01.04.2024 года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673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826736">
        <w:rPr>
          <w:rFonts w:ascii="Times New Roman" w:hAnsi="Times New Roman"/>
          <w:b/>
          <w:sz w:val="28"/>
          <w:szCs w:val="28"/>
        </w:rPr>
        <w:t>с учетом изменений)</w:t>
      </w:r>
      <w:r w:rsidRPr="00CB6728">
        <w:rPr>
          <w:rFonts w:ascii="Times New Roman" w:hAnsi="Times New Roman"/>
          <w:b/>
          <w:sz w:val="28"/>
          <w:szCs w:val="28"/>
        </w:rPr>
        <w:t xml:space="preserve"> утвержден с дефицитом в сумме </w:t>
      </w:r>
      <w:r w:rsidR="00826736">
        <w:rPr>
          <w:rFonts w:ascii="Times New Roman" w:hAnsi="Times New Roman"/>
          <w:b/>
          <w:sz w:val="28"/>
          <w:szCs w:val="28"/>
        </w:rPr>
        <w:t>204,5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квартал 2024 года явилось образование </w:t>
      </w:r>
      <w:r w:rsidR="00826736">
        <w:rPr>
          <w:rFonts w:ascii="Times New Roman" w:hAnsi="Times New Roman"/>
          <w:b/>
          <w:sz w:val="28"/>
          <w:szCs w:val="28"/>
        </w:rPr>
        <w:t>профицита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826736">
        <w:rPr>
          <w:rFonts w:ascii="Times New Roman" w:hAnsi="Times New Roman"/>
          <w:b/>
          <w:sz w:val="28"/>
          <w:szCs w:val="28"/>
        </w:rPr>
        <w:t>65,5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826736">
        <w:rPr>
          <w:rFonts w:ascii="Times New Roman" w:hAnsi="Times New Roman"/>
          <w:b/>
          <w:sz w:val="28"/>
          <w:szCs w:val="28"/>
        </w:rPr>
        <w:t xml:space="preserve"> со знаком </w:t>
      </w:r>
      <w:r w:rsidR="00826736" w:rsidRPr="00826736">
        <w:rPr>
          <w:rFonts w:ascii="Times New Roman" w:hAnsi="Times New Roman"/>
          <w:b/>
          <w:sz w:val="28"/>
          <w:szCs w:val="28"/>
        </w:rPr>
        <w:t>«+»</w:t>
      </w:r>
      <w:r w:rsidR="00CB6728">
        <w:rPr>
          <w:rFonts w:ascii="Times New Roman" w:hAnsi="Times New Roman"/>
          <w:b/>
          <w:sz w:val="28"/>
          <w:szCs w:val="28"/>
        </w:rPr>
        <w:t>.</w:t>
      </w:r>
      <w:r w:rsidR="006B0068"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CB6728">
        <w:rPr>
          <w:rFonts w:ascii="Times New Roman" w:hAnsi="Times New Roman"/>
          <w:b/>
          <w:sz w:val="28"/>
          <w:szCs w:val="28"/>
        </w:rPr>
        <w:t xml:space="preserve">В отчете об исполнении бюджета  указан дефицит бюджета </w:t>
      </w:r>
      <w:r w:rsidR="00826736">
        <w:rPr>
          <w:rFonts w:ascii="Times New Roman" w:hAnsi="Times New Roman"/>
          <w:b/>
          <w:sz w:val="28"/>
          <w:szCs w:val="28"/>
        </w:rPr>
        <w:t>65,5</w:t>
      </w:r>
      <w:r w:rsid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826736">
        <w:rPr>
          <w:rFonts w:ascii="Times New Roman" w:hAnsi="Times New Roman"/>
          <w:b/>
          <w:sz w:val="28"/>
          <w:szCs w:val="28"/>
        </w:rPr>
        <w:t xml:space="preserve"> со знаком «</w:t>
      </w:r>
      <w:proofErr w:type="gramStart"/>
      <w:r w:rsidR="00826736">
        <w:rPr>
          <w:rFonts w:ascii="Times New Roman" w:hAnsi="Times New Roman"/>
          <w:b/>
          <w:sz w:val="28"/>
          <w:szCs w:val="28"/>
        </w:rPr>
        <w:t>-»</w:t>
      </w:r>
      <w:proofErr w:type="gramEnd"/>
      <w:r w:rsidR="00CB6728">
        <w:rPr>
          <w:rFonts w:ascii="Times New Roman" w:hAnsi="Times New Roman"/>
          <w:b/>
          <w:sz w:val="28"/>
          <w:szCs w:val="28"/>
        </w:rPr>
        <w:t>.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</w:t>
      </w:r>
    </w:p>
    <w:p w:rsidR="000039F3" w:rsidRPr="00A10E4D" w:rsidRDefault="000039F3" w:rsidP="000039F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10E4D">
        <w:rPr>
          <w:rFonts w:ascii="Times New Roman" w:hAnsi="Times New Roman"/>
          <w:b/>
          <w:sz w:val="28"/>
          <w:szCs w:val="28"/>
        </w:rPr>
        <w:t xml:space="preserve">Согласно части 3 статьи 92.1 Бюджетного кодекса РФ, дефицит местного бюджета не должен превышать 10,0 процентов общего годового объёма доходов местного бюджета без учёта утверждённого </w:t>
      </w:r>
      <w:r w:rsidRPr="00A10E4D">
        <w:rPr>
          <w:rFonts w:ascii="Times New Roman" w:hAnsi="Times New Roman"/>
          <w:b/>
          <w:sz w:val="28"/>
          <w:szCs w:val="28"/>
        </w:rPr>
        <w:lastRenderedPageBreak/>
        <w:t xml:space="preserve">объёма безвозмездных поступлений и (или) поступлений налоговых доходов по дополнительным нормативам отчислений. </w:t>
      </w:r>
      <w:proofErr w:type="gramStart"/>
      <w:r w:rsidRPr="00A10E4D">
        <w:rPr>
          <w:rFonts w:ascii="Times New Roman" w:hAnsi="Times New Roman"/>
          <w:b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учёту средств местного бюджета, дефицит местного бюджета может превысить ограничения, установленные частью 3 статьи 92.1 Бюджетного кодекса РФ</w:t>
      </w:r>
      <w:proofErr w:type="gramEnd"/>
      <w:r w:rsidRPr="00A10E4D">
        <w:rPr>
          <w:rFonts w:ascii="Times New Roman" w:hAnsi="Times New Roman"/>
          <w:b/>
          <w:sz w:val="28"/>
          <w:szCs w:val="28"/>
        </w:rPr>
        <w:t>, в пределах суммы указанных поступлений и снижения остатков средств на счетах по учёту средств местного бюджета.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В качестве источника внутреннего финансирования дефицита бюджета планир</w:t>
      </w:r>
      <w:r w:rsidR="00DF6D34">
        <w:rPr>
          <w:rFonts w:ascii="Times New Roman" w:hAnsi="Times New Roman"/>
          <w:sz w:val="28"/>
          <w:szCs w:val="28"/>
        </w:rPr>
        <w:t>овалось</w:t>
      </w:r>
      <w:r w:rsidRPr="000C4B71">
        <w:rPr>
          <w:rFonts w:ascii="Times New Roman" w:hAnsi="Times New Roman"/>
          <w:sz w:val="28"/>
          <w:szCs w:val="28"/>
        </w:rPr>
        <w:t xml:space="preserve"> изменение остатков на счетах по учету средств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E06E06" w:rsidRDefault="00E06E06" w:rsidP="00CB6728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CB6728">
        <w:rPr>
          <w:rFonts w:ascii="Times New Roman" w:hAnsi="Times New Roman"/>
          <w:sz w:val="28"/>
          <w:szCs w:val="28"/>
        </w:rPr>
        <w:t xml:space="preserve">В отчете об исполнении бюджета допущены </w:t>
      </w:r>
      <w:proofErr w:type="gramStart"/>
      <w:r w:rsidR="00CB6728">
        <w:rPr>
          <w:rFonts w:ascii="Times New Roman" w:hAnsi="Times New Roman"/>
          <w:sz w:val="28"/>
          <w:szCs w:val="28"/>
        </w:rPr>
        <w:t>не верные</w:t>
      </w:r>
      <w:proofErr w:type="gramEnd"/>
      <w:r w:rsidR="00CB6728">
        <w:rPr>
          <w:rFonts w:ascii="Times New Roman" w:hAnsi="Times New Roman"/>
          <w:sz w:val="28"/>
          <w:szCs w:val="28"/>
        </w:rPr>
        <w:t xml:space="preserve"> данные по исполнению </w:t>
      </w:r>
      <w:r w:rsidR="00826736">
        <w:rPr>
          <w:rFonts w:ascii="Times New Roman" w:hAnsi="Times New Roman"/>
          <w:sz w:val="28"/>
          <w:szCs w:val="28"/>
        </w:rPr>
        <w:t>расходной</w:t>
      </w:r>
      <w:r w:rsidR="00CB6728">
        <w:rPr>
          <w:rFonts w:ascii="Times New Roman" w:hAnsi="Times New Roman"/>
          <w:sz w:val="28"/>
          <w:szCs w:val="28"/>
        </w:rPr>
        <w:t xml:space="preserve"> части, что привело к искажению информации по сбалансированности бюджета.</w:t>
      </w:r>
    </w:p>
    <w:p w:rsidR="0025773B" w:rsidRDefault="00CB6728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773B">
        <w:rPr>
          <w:rFonts w:ascii="Times New Roman" w:hAnsi="Times New Roman"/>
          <w:sz w:val="28"/>
          <w:szCs w:val="28"/>
        </w:rPr>
        <w:t>.</w:t>
      </w:r>
      <w:r w:rsidR="0025773B" w:rsidRPr="0025773B"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01.04.202</w:t>
      </w:r>
      <w:r w:rsidR="0025773B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>года не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 w:rsidR="0025773B">
        <w:rPr>
          <w:rFonts w:ascii="Times New Roman" w:hAnsi="Times New Roman"/>
          <w:sz w:val="28"/>
          <w:szCs w:val="28"/>
        </w:rPr>
        <w:t>1,0</w:t>
      </w:r>
      <w:r w:rsidR="0025773B"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1E62F7">
        <w:rPr>
          <w:rFonts w:ascii="Times New Roman" w:hAnsi="Times New Roman"/>
          <w:sz w:val="28"/>
          <w:szCs w:val="28"/>
        </w:rPr>
        <w:t xml:space="preserve">освоены </w:t>
      </w:r>
      <w:r>
        <w:rPr>
          <w:rFonts w:ascii="Times New Roman" w:hAnsi="Times New Roman"/>
          <w:sz w:val="28"/>
          <w:szCs w:val="28"/>
        </w:rPr>
        <w:t xml:space="preserve"> </w:t>
      </w:r>
      <w:r w:rsidR="001E62F7">
        <w:rPr>
          <w:rFonts w:ascii="Times New Roman" w:hAnsi="Times New Roman"/>
          <w:sz w:val="28"/>
          <w:szCs w:val="28"/>
        </w:rPr>
        <w:t xml:space="preserve">не в </w:t>
      </w:r>
      <w:r>
        <w:rPr>
          <w:rFonts w:ascii="Times New Roman" w:hAnsi="Times New Roman"/>
          <w:sz w:val="28"/>
          <w:szCs w:val="28"/>
        </w:rPr>
        <w:t xml:space="preserve">полном объеме или </w:t>
      </w:r>
      <w:r w:rsidR="00390B9C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390B9C">
        <w:rPr>
          <w:rFonts w:ascii="Times New Roman" w:hAnsi="Times New Roman"/>
          <w:sz w:val="28"/>
          <w:szCs w:val="28"/>
        </w:rPr>
        <w:t>1440,4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</w:t>
      </w:r>
      <w:r w:rsidR="00CB6728">
        <w:rPr>
          <w:rFonts w:ascii="Times New Roman" w:hAnsi="Times New Roman"/>
          <w:sz w:val="28"/>
          <w:szCs w:val="28"/>
        </w:rPr>
        <w:t xml:space="preserve"> по данным отчета представленного отчета об</w:t>
      </w:r>
      <w:r w:rsidR="00E06E06" w:rsidRPr="00E06E06">
        <w:rPr>
          <w:rFonts w:ascii="Times New Roman" w:hAnsi="Times New Roman"/>
          <w:sz w:val="28"/>
          <w:szCs w:val="28"/>
        </w:rPr>
        <w:t xml:space="preserve"> исполнения бюджета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CB6728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390B9C">
        <w:rPr>
          <w:rFonts w:ascii="Times New Roman" w:hAnsi="Times New Roman"/>
          <w:sz w:val="28"/>
          <w:szCs w:val="28"/>
        </w:rPr>
        <w:t>65,5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A32CC9" w:rsidRDefault="00A32CC9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Исполнение бюджета за 1 квартал 2024 года находится на очень низком уровне 18,9%.</w:t>
      </w:r>
      <w:bookmarkStart w:id="0" w:name="_GoBack"/>
      <w:bookmarkEnd w:id="0"/>
    </w:p>
    <w:p w:rsidR="007D3284" w:rsidRPr="00E06E06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E37E8">
        <w:rPr>
          <w:rFonts w:ascii="Times New Roman" w:hAnsi="Times New Roman"/>
          <w:sz w:val="28"/>
          <w:szCs w:val="28"/>
        </w:rPr>
        <w:t>Попереченского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определить не представляется возможным из-за отсутствия информации о муниципальном долге на 01.04.2024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A9092D" w:rsidRPr="00FA2796" w:rsidRDefault="00A9092D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3E10">
        <w:rPr>
          <w:rFonts w:ascii="Times New Roman" w:hAnsi="Times New Roman"/>
          <w:b/>
          <w:sz w:val="28"/>
          <w:szCs w:val="28"/>
        </w:rPr>
        <w:t xml:space="preserve">привести в соответствие </w:t>
      </w:r>
      <w:r w:rsidR="00A43E10" w:rsidRPr="00A43E10">
        <w:rPr>
          <w:rFonts w:ascii="Times New Roman" w:hAnsi="Times New Roman"/>
          <w:b/>
          <w:sz w:val="28"/>
          <w:szCs w:val="28"/>
        </w:rPr>
        <w:t xml:space="preserve">отчет об </w:t>
      </w:r>
      <w:r w:rsidRPr="00A43E10">
        <w:rPr>
          <w:rFonts w:ascii="Times New Roman" w:hAnsi="Times New Roman"/>
          <w:b/>
          <w:sz w:val="28"/>
          <w:szCs w:val="28"/>
        </w:rPr>
        <w:t>исполнени</w:t>
      </w:r>
      <w:r w:rsidR="00A43E10" w:rsidRPr="00A43E10">
        <w:rPr>
          <w:rFonts w:ascii="Times New Roman" w:hAnsi="Times New Roman"/>
          <w:b/>
          <w:sz w:val="28"/>
          <w:szCs w:val="28"/>
        </w:rPr>
        <w:t>и</w:t>
      </w:r>
      <w:r w:rsidRPr="00A43E10">
        <w:rPr>
          <w:rFonts w:ascii="Times New Roman" w:hAnsi="Times New Roman"/>
          <w:b/>
          <w:sz w:val="28"/>
          <w:szCs w:val="28"/>
        </w:rPr>
        <w:t xml:space="preserve"> </w:t>
      </w:r>
      <w:r w:rsidR="00A43E10" w:rsidRPr="00A43E10">
        <w:rPr>
          <w:rFonts w:ascii="Times New Roman" w:hAnsi="Times New Roman"/>
          <w:b/>
          <w:sz w:val="28"/>
          <w:szCs w:val="28"/>
        </w:rPr>
        <w:t>бюджета</w:t>
      </w:r>
      <w:r w:rsidRPr="00A43E10">
        <w:rPr>
          <w:rFonts w:ascii="Times New Roman" w:hAnsi="Times New Roman"/>
          <w:b/>
          <w:sz w:val="28"/>
          <w:szCs w:val="28"/>
        </w:rPr>
        <w:t xml:space="preserve"> за 1 квартал 2024 года</w:t>
      </w:r>
      <w:r>
        <w:rPr>
          <w:rFonts w:ascii="Times New Roman" w:hAnsi="Times New Roman"/>
          <w:sz w:val="28"/>
          <w:szCs w:val="28"/>
        </w:rPr>
        <w:t>.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0F" w:rsidRDefault="00EC610F">
      <w:pPr>
        <w:spacing w:after="0" w:line="240" w:lineRule="auto"/>
      </w:pPr>
      <w:r>
        <w:separator/>
      </w:r>
    </w:p>
  </w:endnote>
  <w:endnote w:type="continuationSeparator" w:id="0">
    <w:p w:rsidR="00EC610F" w:rsidRDefault="00EC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0F" w:rsidRDefault="00EC610F">
      <w:pPr>
        <w:spacing w:after="0" w:line="240" w:lineRule="auto"/>
      </w:pPr>
      <w:r>
        <w:separator/>
      </w:r>
    </w:p>
  </w:footnote>
  <w:footnote w:type="continuationSeparator" w:id="0">
    <w:p w:rsidR="00EC610F" w:rsidRDefault="00EC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CC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31B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0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C6D17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57E72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930FE"/>
    <w:rsid w:val="00693706"/>
    <w:rsid w:val="006952D9"/>
    <w:rsid w:val="00697796"/>
    <w:rsid w:val="006A09C7"/>
    <w:rsid w:val="006A1196"/>
    <w:rsid w:val="006A393F"/>
    <w:rsid w:val="006A45CE"/>
    <w:rsid w:val="006A5098"/>
    <w:rsid w:val="006A5C29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736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409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CF20-BF88-4811-A810-EE2DE156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9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127</cp:revision>
  <cp:lastPrinted>2022-02-24T02:36:00Z</cp:lastPrinted>
  <dcterms:created xsi:type="dcterms:W3CDTF">2024-05-06T06:09:00Z</dcterms:created>
  <dcterms:modified xsi:type="dcterms:W3CDTF">2024-05-16T02:27:00Z</dcterms:modified>
</cp:coreProperties>
</file>