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11387C58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735C80">
        <w:rPr>
          <w:rFonts w:ascii="Times New Roman" w:hAnsi="Times New Roman"/>
          <w:sz w:val="24"/>
          <w:szCs w:val="24"/>
          <w:u w:val="single"/>
        </w:rPr>
        <w:t>08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735C80">
        <w:rPr>
          <w:rFonts w:ascii="Times New Roman" w:hAnsi="Times New Roman"/>
          <w:sz w:val="24"/>
          <w:szCs w:val="24"/>
          <w:u w:val="single"/>
        </w:rPr>
        <w:t>ноября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735C80">
        <w:rPr>
          <w:rFonts w:ascii="Times New Roman" w:hAnsi="Times New Roman"/>
          <w:sz w:val="24"/>
          <w:szCs w:val="24"/>
          <w:u w:val="single"/>
        </w:rPr>
        <w:t>145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7F046E22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>«</w:t>
      </w:r>
      <w:r w:rsidR="00735C80">
        <w:rPr>
          <w:rFonts w:ascii="Times New Roman" w:hAnsi="Times New Roman"/>
          <w:sz w:val="24"/>
          <w:szCs w:val="24"/>
        </w:rPr>
        <w:t xml:space="preserve">О внесении изменений в  постановление </w:t>
      </w:r>
      <w:r w:rsidR="00A4297E" w:rsidRPr="00A4297E">
        <w:rPr>
          <w:rFonts w:ascii="Times New Roman" w:hAnsi="Times New Roman"/>
          <w:sz w:val="24"/>
          <w:szCs w:val="24"/>
        </w:rPr>
        <w:t xml:space="preserve"> </w:t>
      </w:r>
      <w:r w:rsidR="00735C80">
        <w:rPr>
          <w:rFonts w:ascii="Times New Roman" w:hAnsi="Times New Roman"/>
          <w:sz w:val="24"/>
          <w:szCs w:val="24"/>
        </w:rPr>
        <w:t>Администрации района от 25.03.2022 №266 «Об утверждении муниципальной программы «Развитие гражданского общества на территории Каменского района Алтайского края</w:t>
      </w:r>
      <w:r w:rsidR="00D55AFA">
        <w:rPr>
          <w:rFonts w:ascii="Times New Roman" w:hAnsi="Times New Roman"/>
          <w:sz w:val="24"/>
          <w:szCs w:val="24"/>
        </w:rPr>
        <w:t>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DB379C">
        <w:rPr>
          <w:rFonts w:ascii="Times New Roman" w:hAnsi="Times New Roman"/>
          <w:sz w:val="24"/>
          <w:szCs w:val="24"/>
          <w:lang w:eastAsia="ru-RU"/>
        </w:rPr>
        <w:t>01.11.2024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</w:t>
      </w:r>
      <w:r w:rsidR="00DB379C">
        <w:rPr>
          <w:rFonts w:ascii="Times New Roman" w:hAnsi="Times New Roman"/>
          <w:sz w:val="24"/>
          <w:szCs w:val="24"/>
          <w:lang w:eastAsia="ru-RU"/>
        </w:rPr>
        <w:t>3</w:t>
      </w:r>
      <w:r w:rsidR="00F02BC2">
        <w:rPr>
          <w:rFonts w:ascii="Times New Roman" w:hAnsi="Times New Roman"/>
          <w:sz w:val="24"/>
          <w:szCs w:val="24"/>
          <w:lang w:eastAsia="ru-RU"/>
        </w:rPr>
        <w:t>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</w:p>
    <w:p w14:paraId="1F225935" w14:textId="37279901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1860C8" w:rsidRPr="001860C8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 постановление  Администрации района от 25.03.2022 №266 «Об утверждении муниципальной программы «Развитие гражданского общества на территории Каменского района Алтайского края»</w:t>
      </w:r>
      <w:r w:rsidR="001860C8">
        <w:rPr>
          <w:rFonts w:ascii="Times New Roman" w:hAnsi="Times New Roman"/>
          <w:sz w:val="24"/>
          <w:szCs w:val="24"/>
        </w:rPr>
        <w:t>;</w:t>
      </w:r>
    </w:p>
    <w:p w14:paraId="03C4FBC2" w14:textId="5FACB20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06701F">
        <w:rPr>
          <w:rFonts w:ascii="Times New Roman" w:hAnsi="Times New Roman"/>
          <w:sz w:val="24"/>
          <w:szCs w:val="24"/>
        </w:rPr>
        <w:t>11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1860C8">
        <w:rPr>
          <w:rFonts w:ascii="Times New Roman" w:hAnsi="Times New Roman"/>
          <w:sz w:val="24"/>
          <w:szCs w:val="24"/>
        </w:rPr>
        <w:t>ноября</w:t>
      </w:r>
      <w:r w:rsidR="00F02BC2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06701F">
        <w:rPr>
          <w:rFonts w:ascii="Times New Roman" w:hAnsi="Times New Roman"/>
          <w:sz w:val="24"/>
          <w:szCs w:val="24"/>
        </w:rPr>
        <w:t>11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1860C8">
        <w:rPr>
          <w:rFonts w:ascii="Times New Roman" w:hAnsi="Times New Roman"/>
          <w:sz w:val="24"/>
          <w:szCs w:val="24"/>
        </w:rPr>
        <w:t>ноября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4D7E52B7" w:rsidR="00EA3909" w:rsidRPr="00F34A2F" w:rsidRDefault="00091330" w:rsidP="00091330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r w:rsidR="00EA3909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51B610A4" w:rsidR="00EA3909" w:rsidRPr="00443FCA" w:rsidRDefault="0066444C" w:rsidP="00091330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11</w:t>
      </w:r>
      <w:r w:rsidR="00091330">
        <w:rPr>
          <w:rFonts w:ascii="Times New Roman" w:hAnsi="Times New Roman"/>
          <w:sz w:val="24"/>
          <w:szCs w:val="24"/>
          <w:u w:val="single"/>
        </w:rPr>
        <w:t>.11.2024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091330">
        <w:rPr>
          <w:rFonts w:ascii="Times New Roman" w:hAnsi="Times New Roman"/>
          <w:sz w:val="24"/>
          <w:szCs w:val="24"/>
          <w:u w:val="single"/>
        </w:rPr>
        <w:t>179</w:t>
      </w:r>
      <w:proofErr w:type="gramStart"/>
      <w:r w:rsidR="00E662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</w:t>
      </w:r>
      <w:proofErr w:type="gramEnd"/>
      <w:r w:rsidR="00D55AF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Pr="0089603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B0CAA8" w14:textId="22FB8EB3" w:rsidR="00812268" w:rsidRPr="00896032" w:rsidRDefault="00113ADF" w:rsidP="00812268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  </w:t>
      </w:r>
      <w:r w:rsidR="00812268" w:rsidRPr="00896032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1F5B6C78" w14:textId="279E2E90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 </w:t>
      </w:r>
      <w:r w:rsidRPr="00896032">
        <w:rPr>
          <w:rFonts w:ascii="Times New Roman" w:hAnsi="Times New Roman"/>
          <w:sz w:val="28"/>
          <w:szCs w:val="28"/>
        </w:rPr>
        <w:t>районного Собрания депутатов</w:t>
      </w:r>
    </w:p>
    <w:p w14:paraId="115CFE7B" w14:textId="7A6D135D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</w:t>
      </w:r>
      <w:r w:rsidRPr="00896032">
        <w:rPr>
          <w:rFonts w:ascii="Times New Roman" w:hAnsi="Times New Roman"/>
          <w:sz w:val="28"/>
          <w:szCs w:val="28"/>
        </w:rPr>
        <w:t>А. С. Марину</w:t>
      </w:r>
      <w:r w:rsidRPr="00896032">
        <w:rPr>
          <w:rFonts w:ascii="Times New Roman" w:hAnsi="Times New Roman"/>
          <w:sz w:val="28"/>
          <w:szCs w:val="28"/>
        </w:rPr>
        <w:tab/>
      </w:r>
    </w:p>
    <w:p w14:paraId="379B61B7" w14:textId="77777777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</w:p>
    <w:p w14:paraId="6B736360" w14:textId="23A61557" w:rsidR="00EA3909" w:rsidRPr="00896032" w:rsidRDefault="00812268" w:rsidP="00E6622F">
      <w:pPr>
        <w:pStyle w:val="ac"/>
        <w:ind w:left="4956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Начальнику </w:t>
      </w:r>
      <w:r w:rsidR="00F77ECF">
        <w:rPr>
          <w:rFonts w:ascii="Times New Roman" w:hAnsi="Times New Roman"/>
          <w:sz w:val="28"/>
          <w:szCs w:val="28"/>
        </w:rPr>
        <w:t>Управления делами</w:t>
      </w:r>
    </w:p>
    <w:p w14:paraId="44B83A4F" w14:textId="0A7EFC04" w:rsidR="00EA3909" w:rsidRDefault="00E6622F" w:rsidP="00F77ECF">
      <w:pPr>
        <w:pStyle w:val="ac"/>
        <w:ind w:left="4956"/>
        <w:rPr>
          <w:rFonts w:ascii="Times New Roman" w:hAnsi="Times New Roman"/>
          <w:b/>
          <w:sz w:val="24"/>
          <w:szCs w:val="24"/>
        </w:rPr>
      </w:pPr>
      <w:r w:rsidRPr="00896032">
        <w:rPr>
          <w:rFonts w:ascii="Times New Roman" w:hAnsi="Times New Roman"/>
          <w:sz w:val="28"/>
          <w:szCs w:val="28"/>
        </w:rPr>
        <w:t xml:space="preserve">О. </w:t>
      </w:r>
      <w:r w:rsidR="00F77ECF">
        <w:rPr>
          <w:rFonts w:ascii="Times New Roman" w:hAnsi="Times New Roman"/>
          <w:sz w:val="28"/>
          <w:szCs w:val="28"/>
        </w:rPr>
        <w:t>С</w:t>
      </w:r>
      <w:r w:rsidRPr="00896032">
        <w:rPr>
          <w:rFonts w:ascii="Times New Roman" w:hAnsi="Times New Roman"/>
          <w:sz w:val="28"/>
          <w:szCs w:val="28"/>
        </w:rPr>
        <w:t xml:space="preserve">. </w:t>
      </w:r>
      <w:r w:rsidR="00F77ECF">
        <w:rPr>
          <w:rFonts w:ascii="Times New Roman" w:hAnsi="Times New Roman"/>
          <w:sz w:val="28"/>
          <w:szCs w:val="28"/>
        </w:rPr>
        <w:t>Игониной</w:t>
      </w: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5C80CDF0" w:rsidR="00892469" w:rsidRPr="00122824" w:rsidRDefault="00892469" w:rsidP="0012282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824">
        <w:rPr>
          <w:rFonts w:ascii="Times New Roman" w:hAnsi="Times New Roman"/>
          <w:b/>
          <w:bCs/>
          <w:sz w:val="28"/>
          <w:szCs w:val="28"/>
        </w:rPr>
        <w:t xml:space="preserve">по результатам </w:t>
      </w:r>
      <w:r w:rsidR="006704A6" w:rsidRPr="00122824">
        <w:rPr>
          <w:rFonts w:ascii="Times New Roman" w:hAnsi="Times New Roman"/>
          <w:b/>
          <w:bCs/>
          <w:sz w:val="28"/>
          <w:szCs w:val="28"/>
        </w:rPr>
        <w:t xml:space="preserve">финансово-экономической экспертизы </w:t>
      </w:r>
      <w:r w:rsidR="00122824" w:rsidRPr="00122824">
        <w:rPr>
          <w:rFonts w:ascii="Times New Roman" w:hAnsi="Times New Roman"/>
          <w:b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 постановление  Администрации района от 25.03.2022 №266 «Об утверждении муниципальной программы «Развитие гражданского общества на территории Каменского района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183B9CDB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2502AF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2502AF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5872D9">
        <w:rPr>
          <w:rFonts w:ascii="Times New Roman" w:hAnsi="Times New Roman"/>
          <w:sz w:val="28"/>
          <w:szCs w:val="28"/>
        </w:rPr>
        <w:t>08</w:t>
      </w:r>
      <w:r w:rsidRPr="002502AF">
        <w:rPr>
          <w:rFonts w:ascii="Times New Roman" w:hAnsi="Times New Roman"/>
          <w:sz w:val="28"/>
          <w:szCs w:val="28"/>
        </w:rPr>
        <w:t>.</w:t>
      </w:r>
      <w:r w:rsidR="005872D9">
        <w:rPr>
          <w:rFonts w:ascii="Times New Roman" w:hAnsi="Times New Roman"/>
          <w:sz w:val="28"/>
          <w:szCs w:val="28"/>
        </w:rPr>
        <w:t>11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5872D9">
        <w:rPr>
          <w:rFonts w:ascii="Times New Roman" w:hAnsi="Times New Roman"/>
          <w:sz w:val="28"/>
          <w:szCs w:val="28"/>
        </w:rPr>
        <w:t>145</w:t>
      </w:r>
      <w:r w:rsidR="00154A71">
        <w:rPr>
          <w:rFonts w:ascii="Times New Roman" w:hAnsi="Times New Roman"/>
          <w:sz w:val="28"/>
          <w:szCs w:val="28"/>
        </w:rPr>
        <w:t xml:space="preserve">, 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154A71" w:rsidRPr="00154A71">
        <w:rPr>
          <w:rFonts w:ascii="Times New Roman" w:hAnsi="Times New Roman"/>
          <w:sz w:val="28"/>
          <w:szCs w:val="28"/>
        </w:rPr>
        <w:t>проведена финансово – экономическая экспертиза</w:t>
      </w:r>
      <w:r w:rsidR="00154A71">
        <w:rPr>
          <w:rFonts w:ascii="Times New Roman" w:hAnsi="Times New Roman"/>
          <w:sz w:val="28"/>
          <w:szCs w:val="28"/>
        </w:rPr>
        <w:t xml:space="preserve"> </w:t>
      </w:r>
      <w:r w:rsidR="00154A71" w:rsidRPr="00154A71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 постановление  Администрации района от 25.03.2022 №266 «Об утверждении муниципальной программы «Развитие гражданского общества на территории Каменского района Алтайского края»</w:t>
      </w:r>
      <w:r w:rsidR="007137EB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154A71" w:rsidRPr="00154A71">
        <w:rPr>
          <w:rFonts w:ascii="Times New Roman" w:hAnsi="Times New Roman"/>
          <w:sz w:val="28"/>
          <w:szCs w:val="28"/>
        </w:rPr>
        <w:t>, по результатам которой, установлено следующее</w:t>
      </w:r>
      <w:r w:rsidR="00154A71">
        <w:rPr>
          <w:rFonts w:ascii="Times New Roman" w:hAnsi="Times New Roman"/>
          <w:sz w:val="28"/>
          <w:szCs w:val="28"/>
        </w:rPr>
        <w:t>:</w:t>
      </w:r>
    </w:p>
    <w:p w14:paraId="1E49F17B" w14:textId="193B03A0" w:rsidR="00E6466F" w:rsidRDefault="00DC1402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02">
        <w:rPr>
          <w:rFonts w:ascii="Times New Roman" w:hAnsi="Times New Roman"/>
          <w:sz w:val="28"/>
          <w:szCs w:val="28"/>
        </w:rPr>
        <w:t>Проект Постановления предполагает перераспределение бюджетных сре</w:t>
      </w:r>
      <w:proofErr w:type="gramStart"/>
      <w:r w:rsidRPr="00DC1402">
        <w:rPr>
          <w:rFonts w:ascii="Times New Roman" w:hAnsi="Times New Roman"/>
          <w:sz w:val="28"/>
          <w:szCs w:val="28"/>
        </w:rPr>
        <w:t>дств в р</w:t>
      </w:r>
      <w:proofErr w:type="gramEnd"/>
      <w:r w:rsidRPr="00DC1402">
        <w:rPr>
          <w:rFonts w:ascii="Times New Roman" w:hAnsi="Times New Roman"/>
          <w:sz w:val="28"/>
          <w:szCs w:val="28"/>
        </w:rPr>
        <w:t xml:space="preserve">амках муниципальной программы </w:t>
      </w:r>
      <w:r w:rsidR="0084274E" w:rsidRPr="0084274E">
        <w:rPr>
          <w:rFonts w:ascii="Times New Roman" w:hAnsi="Times New Roman"/>
          <w:sz w:val="28"/>
          <w:szCs w:val="28"/>
        </w:rPr>
        <w:t xml:space="preserve">«Развитие гражданского </w:t>
      </w:r>
      <w:r w:rsidR="0084274E" w:rsidRPr="0084274E">
        <w:rPr>
          <w:rFonts w:ascii="Times New Roman" w:hAnsi="Times New Roman"/>
          <w:sz w:val="28"/>
          <w:szCs w:val="28"/>
        </w:rPr>
        <w:lastRenderedPageBreak/>
        <w:t>общества на территории Каменского района Алтайского края»</w:t>
      </w:r>
      <w:r w:rsidR="0084274E">
        <w:rPr>
          <w:rFonts w:ascii="Times New Roman" w:hAnsi="Times New Roman"/>
          <w:sz w:val="28"/>
          <w:szCs w:val="28"/>
        </w:rPr>
        <w:t>.</w:t>
      </w:r>
      <w:r w:rsidRPr="00DC1402">
        <w:rPr>
          <w:rFonts w:ascii="Times New Roman" w:hAnsi="Times New Roman"/>
          <w:sz w:val="28"/>
          <w:szCs w:val="28"/>
        </w:rPr>
        <w:t xml:space="preserve"> Ключевое изменение касается перенаправления 20 000 рублей с мероприятия по поощрению заслуженных граждан (Задача 1.7 «Поощрение лиц, имеющих заслуги, получившие общественное признание 2024 год») на мероприятия по информационно-просветительской деятельности (Задача 1.2 «Проведение информационно-методического, рекламного обеспечения правового формирования институтов гражданского общества и участия населения в осуществлении местного самоуправления 2024 год»). Это перераспределение обусловлено изменением приоритетов и необходимости усиления информационной поддержки граждан в вопросах местного самоуправления. Конкретно, предлагается увеличить финансирование мероприятия 1.2.2 «Издание информационно-справочных буклетов, баннеров 2024 год» на 20 000 рублей. Эти средства изначально предназначались для выплаты </w:t>
      </w:r>
      <w:proofErr w:type="gramStart"/>
      <w:r w:rsidRPr="00DC1402">
        <w:rPr>
          <w:rFonts w:ascii="Times New Roman" w:hAnsi="Times New Roman"/>
          <w:sz w:val="28"/>
          <w:szCs w:val="28"/>
        </w:rPr>
        <w:t>премии имени Героя Социалистического Труда Парфенова Евгения</w:t>
      </w:r>
      <w:proofErr w:type="gramEnd"/>
      <w:r w:rsidRPr="00DC1402">
        <w:rPr>
          <w:rFonts w:ascii="Times New Roman" w:hAnsi="Times New Roman"/>
          <w:sz w:val="28"/>
          <w:szCs w:val="28"/>
        </w:rPr>
        <w:t xml:space="preserve"> Ерофеевича (мероприятие 1.7.1 «Выплата премии общественного признания Администрации района имени Героя Социалистического труда Парфенова Евгения Ерофеевича 2024 год»). Решение о невыплате премии принято комиссией Администрации района (протокол №1 от 15.10.2024 г.). Основанием для </w:t>
      </w:r>
      <w:r w:rsidR="0084274E">
        <w:rPr>
          <w:rFonts w:ascii="Times New Roman" w:hAnsi="Times New Roman"/>
          <w:sz w:val="28"/>
          <w:szCs w:val="28"/>
        </w:rPr>
        <w:t>награждения</w:t>
      </w:r>
      <w:r w:rsidRPr="00DC1402">
        <w:rPr>
          <w:rFonts w:ascii="Times New Roman" w:hAnsi="Times New Roman"/>
          <w:sz w:val="28"/>
          <w:szCs w:val="28"/>
        </w:rPr>
        <w:t xml:space="preserve"> послужило ходатайство Администрации Телеутского сельсовета от 25.09.2024 г. №122, в котором была представлена кандидатура Шкуркиной Л.Л. на соискание премии, но комиссия, рассмотрев представленные материалы, </w:t>
      </w:r>
      <w:r w:rsidR="0084274E">
        <w:rPr>
          <w:rFonts w:ascii="Times New Roman" w:hAnsi="Times New Roman"/>
          <w:sz w:val="28"/>
          <w:szCs w:val="28"/>
        </w:rPr>
        <w:t>решила не поддерживать кандидатуру Шкуркиной Л.Л.</w:t>
      </w:r>
      <w:r w:rsidRPr="00DC1402">
        <w:rPr>
          <w:rFonts w:ascii="Times New Roman" w:hAnsi="Times New Roman"/>
          <w:sz w:val="28"/>
          <w:szCs w:val="28"/>
        </w:rPr>
        <w:t xml:space="preserve"> Важно отметить, что критерии отбора кандидатов на премию имени Парфенова Е.Е. включают в себя не только общественное признание, но и конкретный вклад в развитие района. В данном случае, комиссия, вероятно, посчитала, что заслуги Шкуркиной Л.Л. не соответствуют уровню, необходимому для получения этой престижной награды. Решение о перераспределении средств на информационные материалы, а именно на производство баннеров с призывом к службе по контракту, свидетельствует о перемене приоритетов в рамках данной муниципальной программы. Это может быть связано с текущей социально-политической ситуацией и необходимостью привлечения дополнительного персонала в силовые структуры. Таким образом, перераспределение средств является не просто технической корректировкой бюджета, а отражением стратегического перехода к активному информированию населения о возможностях участия в местном самоуправлении, а также направленного привлечения граждан к службе по контракту</w:t>
      </w:r>
      <w:r w:rsidR="0084274E">
        <w:rPr>
          <w:rFonts w:ascii="Times New Roman" w:hAnsi="Times New Roman"/>
          <w:sz w:val="28"/>
          <w:szCs w:val="28"/>
        </w:rPr>
        <w:t>.</w:t>
      </w:r>
    </w:p>
    <w:p w14:paraId="790FBC93" w14:textId="77777777" w:rsidR="00657A4F" w:rsidRDefault="00657A4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D1513A" w14:textId="77777777" w:rsidR="001F6B57" w:rsidRDefault="001F6B57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315D87A6" w:rsidR="00892469" w:rsidRPr="008F1D8D" w:rsidRDefault="00892469" w:rsidP="008F1D8D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1D8D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64E984A3" w14:textId="77777777" w:rsidR="00013177" w:rsidRPr="003C3854" w:rsidRDefault="00013177" w:rsidP="0001317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153576F2" w14:textId="67654FBF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5C13CC">
        <w:rPr>
          <w:rFonts w:ascii="Times New Roman" w:hAnsi="Times New Roman"/>
          <w:sz w:val="28"/>
          <w:szCs w:val="28"/>
        </w:rPr>
        <w:t xml:space="preserve">не </w:t>
      </w:r>
      <w:r w:rsidRPr="002502AF">
        <w:rPr>
          <w:rFonts w:ascii="Times New Roman" w:hAnsi="Times New Roman"/>
          <w:sz w:val="28"/>
          <w:szCs w:val="28"/>
        </w:rPr>
        <w:t xml:space="preserve">предусматривается </w:t>
      </w:r>
      <w:r w:rsidR="005C13CC">
        <w:rPr>
          <w:rFonts w:ascii="Times New Roman" w:hAnsi="Times New Roman"/>
          <w:sz w:val="28"/>
          <w:szCs w:val="28"/>
        </w:rPr>
        <w:t xml:space="preserve">изменения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="005C13CC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13177">
        <w:rPr>
          <w:rFonts w:ascii="Times New Roman" w:hAnsi="Times New Roman"/>
          <w:sz w:val="28"/>
          <w:szCs w:val="28"/>
        </w:rPr>
        <w:t xml:space="preserve"> на весь срок ее реализации и составляет</w:t>
      </w:r>
      <w:r w:rsidR="005C13CC">
        <w:rPr>
          <w:rFonts w:ascii="Times New Roman" w:hAnsi="Times New Roman"/>
          <w:sz w:val="28"/>
          <w:szCs w:val="28"/>
        </w:rPr>
        <w:t xml:space="preserve"> </w:t>
      </w:r>
      <w:r w:rsidR="00013177">
        <w:rPr>
          <w:rFonts w:ascii="Times New Roman" w:hAnsi="Times New Roman"/>
          <w:sz w:val="28"/>
          <w:szCs w:val="28"/>
        </w:rPr>
        <w:t xml:space="preserve"> сумму </w:t>
      </w:r>
      <w:r w:rsidR="00013177">
        <w:rPr>
          <w:rFonts w:ascii="Times New Roman" w:hAnsi="Times New Roman"/>
          <w:b/>
          <w:sz w:val="28"/>
          <w:szCs w:val="28"/>
        </w:rPr>
        <w:t>1420,0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65BA73C6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131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3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13177">
        <w:rPr>
          <w:rFonts w:ascii="Times New Roman" w:hAnsi="Times New Roman"/>
          <w:sz w:val="28"/>
          <w:szCs w:val="28"/>
        </w:rPr>
        <w:t xml:space="preserve"> 355,0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00B7E5CB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0131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0131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13177">
        <w:rPr>
          <w:rFonts w:ascii="Times New Roman" w:hAnsi="Times New Roman"/>
          <w:sz w:val="28"/>
          <w:szCs w:val="28"/>
        </w:rPr>
        <w:t>355,0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56812233" w14:textId="1591FDE3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131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550E7">
        <w:rPr>
          <w:rFonts w:ascii="Times New Roman" w:hAnsi="Times New Roman"/>
          <w:sz w:val="28"/>
          <w:szCs w:val="28"/>
        </w:rPr>
        <w:t>-</w:t>
      </w:r>
      <w:r w:rsidR="00013177">
        <w:rPr>
          <w:rFonts w:ascii="Times New Roman" w:hAnsi="Times New Roman"/>
          <w:sz w:val="28"/>
          <w:szCs w:val="28"/>
        </w:rPr>
        <w:t xml:space="preserve"> 355,0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4296F3D5" w14:textId="110F5DE6" w:rsidR="00013177" w:rsidRDefault="0001317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- 355,0 тыс. рублей.</w:t>
      </w:r>
    </w:p>
    <w:p w14:paraId="0B774049" w14:textId="0787DC65" w:rsidR="00D76C9F" w:rsidRDefault="00D76C9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районного</w:t>
      </w:r>
      <w:r w:rsidR="00013177">
        <w:rPr>
          <w:rFonts w:ascii="Times New Roman" w:hAnsi="Times New Roman"/>
          <w:sz w:val="28"/>
          <w:szCs w:val="28"/>
        </w:rPr>
        <w:t xml:space="preserve"> и городского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01317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14:paraId="3F5AE21B" w14:textId="64F871F2" w:rsidR="0025367B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6378ED1E" w14:textId="61CD1416" w:rsidR="0077032F" w:rsidRDefault="0077032F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32F">
        <w:rPr>
          <w:rFonts w:ascii="Times New Roman" w:hAnsi="Times New Roman"/>
          <w:sz w:val="28"/>
          <w:szCs w:val="28"/>
        </w:rPr>
        <w:t>Сведения об изменении объемов финансового обеспечения мероприятий муниципальной программы представлены в таблице №1.</w:t>
      </w:r>
    </w:p>
    <w:p w14:paraId="13888183" w14:textId="2BDD2678" w:rsidR="0077032F" w:rsidRDefault="0077032F" w:rsidP="00253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032F">
        <w:rPr>
          <w:rFonts w:ascii="Times New Roman" w:hAnsi="Times New Roman"/>
          <w:sz w:val="20"/>
          <w:szCs w:val="20"/>
        </w:rPr>
        <w:t>Таблица №1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тыс. 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7"/>
        <w:gridCol w:w="1522"/>
        <w:gridCol w:w="612"/>
        <w:gridCol w:w="1008"/>
        <w:gridCol w:w="1008"/>
        <w:gridCol w:w="1009"/>
        <w:gridCol w:w="1009"/>
        <w:gridCol w:w="1025"/>
      </w:tblGrid>
      <w:tr w:rsidR="0077032F" w14:paraId="1F4FDA75" w14:textId="77777777" w:rsidTr="0062085E">
        <w:tc>
          <w:tcPr>
            <w:tcW w:w="4511" w:type="dxa"/>
            <w:gridSpan w:val="3"/>
            <w:vAlign w:val="center"/>
          </w:tcPr>
          <w:p w14:paraId="1E0922CE" w14:textId="09DC75D3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008" w:type="dxa"/>
            <w:vAlign w:val="center"/>
          </w:tcPr>
          <w:p w14:paraId="5F88FD9E" w14:textId="190748E9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2022г.</w:t>
            </w:r>
          </w:p>
        </w:tc>
        <w:tc>
          <w:tcPr>
            <w:tcW w:w="1008" w:type="dxa"/>
            <w:vAlign w:val="center"/>
          </w:tcPr>
          <w:p w14:paraId="25768CDD" w14:textId="4CB6B9EB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1009" w:type="dxa"/>
            <w:vAlign w:val="center"/>
          </w:tcPr>
          <w:p w14:paraId="5006B46E" w14:textId="065A2E81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2024г.</w:t>
            </w:r>
          </w:p>
        </w:tc>
        <w:tc>
          <w:tcPr>
            <w:tcW w:w="1009" w:type="dxa"/>
            <w:vAlign w:val="center"/>
          </w:tcPr>
          <w:p w14:paraId="2C44B801" w14:textId="04D1F96B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2025г.</w:t>
            </w:r>
          </w:p>
        </w:tc>
        <w:tc>
          <w:tcPr>
            <w:tcW w:w="1025" w:type="dxa"/>
            <w:vAlign w:val="center"/>
          </w:tcPr>
          <w:p w14:paraId="6353C23F" w14:textId="0FBDF0F7" w:rsidR="0077032F" w:rsidRPr="0077032F" w:rsidRDefault="0077032F" w:rsidP="00770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32F">
              <w:rPr>
                <w:rFonts w:ascii="Times New Roman" w:hAnsi="Times New Roman"/>
                <w:b/>
              </w:rPr>
              <w:t>Всего за 2022-2025гг.</w:t>
            </w:r>
          </w:p>
        </w:tc>
      </w:tr>
      <w:tr w:rsidR="0062085E" w14:paraId="18B25CE9" w14:textId="77777777" w:rsidTr="0065713B">
        <w:trPr>
          <w:trHeight w:val="799"/>
        </w:trPr>
        <w:tc>
          <w:tcPr>
            <w:tcW w:w="2377" w:type="dxa"/>
            <w:vMerge w:val="restart"/>
          </w:tcPr>
          <w:p w14:paraId="243D4935" w14:textId="35EED687" w:rsidR="0062085E" w:rsidRDefault="00DD6377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377">
              <w:rPr>
                <w:rFonts w:ascii="Times New Roman" w:hAnsi="Times New Roman"/>
              </w:rPr>
              <w:t>Задача 1.2 «Проведение информационно-методического, рекламного обеспечения правового формирования институтов гражданского общества и участия населения в осуществлении местного самоуправления 2024 год»</w:t>
            </w:r>
            <w:r w:rsidR="006571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</w:tcPr>
          <w:p w14:paraId="5E2E3E09" w14:textId="7317F993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</w:t>
            </w:r>
          </w:p>
        </w:tc>
        <w:tc>
          <w:tcPr>
            <w:tcW w:w="612" w:type="dxa"/>
          </w:tcPr>
          <w:p w14:paraId="2F0EB98F" w14:textId="6CEF5480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62F17811" w14:textId="7FD6A2FB" w:rsidR="0062085E" w:rsidRDefault="006F17F5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8" w:type="dxa"/>
          </w:tcPr>
          <w:p w14:paraId="64980B33" w14:textId="3267A8A9" w:rsidR="0062085E" w:rsidRDefault="006F17F5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9" w:type="dxa"/>
          </w:tcPr>
          <w:p w14:paraId="37F29A5D" w14:textId="15B0E91A" w:rsidR="0062085E" w:rsidRDefault="006F17F5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09" w:type="dxa"/>
          </w:tcPr>
          <w:p w14:paraId="7118BEC5" w14:textId="60ED0154" w:rsidR="0062085E" w:rsidRDefault="006F17F5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25" w:type="dxa"/>
          </w:tcPr>
          <w:p w14:paraId="5D5B755D" w14:textId="256ACA47" w:rsidR="0062085E" w:rsidRDefault="006F17F5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</w:tr>
      <w:tr w:rsidR="0062085E" w14:paraId="53CC4AB2" w14:textId="77777777" w:rsidTr="005E0835">
        <w:trPr>
          <w:trHeight w:val="710"/>
        </w:trPr>
        <w:tc>
          <w:tcPr>
            <w:tcW w:w="2377" w:type="dxa"/>
            <w:vMerge/>
          </w:tcPr>
          <w:p w14:paraId="436631D2" w14:textId="77777777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14:paraId="42922233" w14:textId="08F7234C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612" w:type="dxa"/>
          </w:tcPr>
          <w:p w14:paraId="7B36E15B" w14:textId="4DE1C640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  <w:vAlign w:val="center"/>
          </w:tcPr>
          <w:p w14:paraId="0370504E" w14:textId="49CFFEF9" w:rsidR="0062085E" w:rsidRDefault="006F17F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8" w:type="dxa"/>
            <w:vAlign w:val="center"/>
          </w:tcPr>
          <w:p w14:paraId="06C577B6" w14:textId="710C002E" w:rsidR="0062085E" w:rsidRDefault="006F17F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9" w:type="dxa"/>
          </w:tcPr>
          <w:p w14:paraId="0F4F8869" w14:textId="77777777" w:rsidR="005E0835" w:rsidRDefault="005E083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8E3D82" w14:textId="580BD703" w:rsidR="0062085E" w:rsidRDefault="006F17F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9" w:type="dxa"/>
            <w:vAlign w:val="center"/>
          </w:tcPr>
          <w:p w14:paraId="4BDA8D80" w14:textId="32A40C7E" w:rsidR="0062085E" w:rsidRDefault="006F17F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25" w:type="dxa"/>
            <w:vAlign w:val="center"/>
          </w:tcPr>
          <w:p w14:paraId="1A734936" w14:textId="7E47BD04" w:rsidR="0062085E" w:rsidRDefault="006F17F5" w:rsidP="005E0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62085E" w14:paraId="5B45E463" w14:textId="77777777" w:rsidTr="002949ED">
        <w:trPr>
          <w:trHeight w:val="551"/>
        </w:trPr>
        <w:tc>
          <w:tcPr>
            <w:tcW w:w="2377" w:type="dxa"/>
            <w:vMerge/>
          </w:tcPr>
          <w:p w14:paraId="2E7B5F97" w14:textId="77777777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4E0EFD78" w14:textId="7EB166E0" w:rsidR="0062085E" w:rsidRDefault="0062085E" w:rsidP="0062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  <w:tc>
          <w:tcPr>
            <w:tcW w:w="612" w:type="dxa"/>
          </w:tcPr>
          <w:p w14:paraId="301EC7BA" w14:textId="296F04CA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27E0E9F6" w14:textId="4A955EA0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7A7C4F77" w14:textId="5F5C0833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0E0184EA" w14:textId="64A6D740" w:rsidR="0062085E" w:rsidRDefault="000450FA" w:rsidP="00294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2949ED"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6B54C212" w14:textId="4722C209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2DA62E2B" w14:textId="10A4C288" w:rsidR="0062085E" w:rsidRDefault="000450FA" w:rsidP="00294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2949ED">
              <w:rPr>
                <w:rFonts w:ascii="Times New Roman" w:hAnsi="Times New Roman"/>
              </w:rPr>
              <w:t>20,0</w:t>
            </w:r>
          </w:p>
        </w:tc>
      </w:tr>
      <w:tr w:rsidR="0062085E" w14:paraId="1146500F" w14:textId="77777777" w:rsidTr="002949ED">
        <w:tc>
          <w:tcPr>
            <w:tcW w:w="2377" w:type="dxa"/>
            <w:vMerge/>
          </w:tcPr>
          <w:p w14:paraId="713152F1" w14:textId="77777777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</w:tcPr>
          <w:p w14:paraId="0C47E43C" w14:textId="77777777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dxa"/>
          </w:tcPr>
          <w:p w14:paraId="3D0B8EDD" w14:textId="23177EB2" w:rsidR="0062085E" w:rsidRDefault="0062085E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8" w:type="dxa"/>
          </w:tcPr>
          <w:p w14:paraId="7F748F8B" w14:textId="49BD9A76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35B3D0D7" w14:textId="09DB6AE6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4E5F9FFF" w14:textId="4EC13F0E" w:rsidR="0062085E" w:rsidRDefault="002949ED" w:rsidP="00294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9" w:type="dxa"/>
          </w:tcPr>
          <w:p w14:paraId="4589D5F3" w14:textId="41A0BEB7" w:rsidR="0062085E" w:rsidRDefault="002949E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53E19CB9" w14:textId="618CC108" w:rsidR="0062085E" w:rsidRDefault="00F27E42" w:rsidP="00045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652ED9" w14:paraId="5C170E8E" w14:textId="77777777" w:rsidTr="00A84E98">
        <w:tc>
          <w:tcPr>
            <w:tcW w:w="2377" w:type="dxa"/>
            <w:vMerge w:val="restart"/>
          </w:tcPr>
          <w:p w14:paraId="50EBCE7A" w14:textId="251AFCA1" w:rsidR="00652ED9" w:rsidRDefault="00652ED9" w:rsidP="00652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52ED9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 xml:space="preserve">е </w:t>
            </w:r>
            <w:r w:rsidRPr="00652ED9">
              <w:rPr>
                <w:rFonts w:ascii="Times New Roman" w:hAnsi="Times New Roman"/>
              </w:rPr>
              <w:t xml:space="preserve">1.2.2 «Издание </w:t>
            </w:r>
            <w:r>
              <w:rPr>
                <w:rFonts w:ascii="Times New Roman" w:hAnsi="Times New Roman"/>
              </w:rPr>
              <w:t>и</w:t>
            </w:r>
            <w:r w:rsidRPr="00652ED9">
              <w:rPr>
                <w:rFonts w:ascii="Times New Roman" w:hAnsi="Times New Roman"/>
              </w:rPr>
              <w:t>нформационно-справочных буклетов, баннеров 2024 год»</w:t>
            </w:r>
          </w:p>
        </w:tc>
        <w:tc>
          <w:tcPr>
            <w:tcW w:w="1522" w:type="dxa"/>
          </w:tcPr>
          <w:p w14:paraId="015CF4DE" w14:textId="474F7AB1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377">
              <w:rPr>
                <w:rFonts w:ascii="Times New Roman" w:hAnsi="Times New Roman"/>
              </w:rPr>
              <w:t>Проект Постановления</w:t>
            </w:r>
          </w:p>
        </w:tc>
        <w:tc>
          <w:tcPr>
            <w:tcW w:w="612" w:type="dxa"/>
          </w:tcPr>
          <w:p w14:paraId="662A9441" w14:textId="7EA6F0AB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ED9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8" w:type="dxa"/>
          </w:tcPr>
          <w:p w14:paraId="0A8676E1" w14:textId="17CFDC6C" w:rsidR="00652ED9" w:rsidRDefault="001812D7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8" w:type="dxa"/>
          </w:tcPr>
          <w:p w14:paraId="638B5EF1" w14:textId="06B5EE6F" w:rsidR="00652ED9" w:rsidRDefault="00F27E4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09" w:type="dxa"/>
          </w:tcPr>
          <w:p w14:paraId="74C62F25" w14:textId="252EF7F5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09" w:type="dxa"/>
          </w:tcPr>
          <w:p w14:paraId="720B9859" w14:textId="7B94960E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25" w:type="dxa"/>
          </w:tcPr>
          <w:p w14:paraId="41E07C8D" w14:textId="4FFB15BC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</w:tr>
      <w:tr w:rsidR="00652ED9" w14:paraId="3A67D203" w14:textId="77777777" w:rsidTr="00A84E98">
        <w:tc>
          <w:tcPr>
            <w:tcW w:w="2377" w:type="dxa"/>
            <w:vMerge/>
          </w:tcPr>
          <w:p w14:paraId="4C914581" w14:textId="77777777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14:paraId="7C243343" w14:textId="102844A8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6377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612" w:type="dxa"/>
          </w:tcPr>
          <w:p w14:paraId="13CF8389" w14:textId="7C29B340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ED9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8" w:type="dxa"/>
          </w:tcPr>
          <w:p w14:paraId="1AF5CB5B" w14:textId="6B3FD3D7" w:rsidR="00652ED9" w:rsidRDefault="001812D7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8" w:type="dxa"/>
          </w:tcPr>
          <w:p w14:paraId="62871874" w14:textId="33ADA25B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9" w:type="dxa"/>
          </w:tcPr>
          <w:p w14:paraId="73C21565" w14:textId="012509C3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09" w:type="dxa"/>
          </w:tcPr>
          <w:p w14:paraId="4F910C19" w14:textId="361BD2A8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14:paraId="6C06D690" w14:textId="77777777" w:rsidR="009E782D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BBBC2C" w14:textId="2035416E" w:rsidR="009E782D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782EE72E" w14:textId="686D19C3" w:rsidR="00652ED9" w:rsidRDefault="001812D7" w:rsidP="009E78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E782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652ED9" w14:paraId="7042A259" w14:textId="77777777" w:rsidTr="00A84E98">
        <w:tc>
          <w:tcPr>
            <w:tcW w:w="2377" w:type="dxa"/>
            <w:vMerge/>
          </w:tcPr>
          <w:p w14:paraId="1723026A" w14:textId="0A8A05A2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35204ABD" w14:textId="4731D85F" w:rsidR="00652ED9" w:rsidRDefault="00652ED9" w:rsidP="00652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377">
              <w:rPr>
                <w:rFonts w:ascii="Times New Roman" w:hAnsi="Times New Roman"/>
              </w:rPr>
              <w:t>Отклонения</w:t>
            </w:r>
          </w:p>
        </w:tc>
        <w:tc>
          <w:tcPr>
            <w:tcW w:w="612" w:type="dxa"/>
          </w:tcPr>
          <w:p w14:paraId="32E01146" w14:textId="0D5B3257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ED9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8" w:type="dxa"/>
          </w:tcPr>
          <w:p w14:paraId="59037163" w14:textId="3C822A14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7421BD53" w14:textId="38F066FE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4D691B9A" w14:textId="5568A18F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  <w:tc>
          <w:tcPr>
            <w:tcW w:w="1009" w:type="dxa"/>
          </w:tcPr>
          <w:p w14:paraId="5454C5ED" w14:textId="7CC72D0C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5339ECEA" w14:textId="39C792AA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+20,0</w:t>
            </w:r>
          </w:p>
        </w:tc>
      </w:tr>
      <w:tr w:rsidR="00652ED9" w14:paraId="347A9C2E" w14:textId="77777777" w:rsidTr="00D054F8">
        <w:trPr>
          <w:trHeight w:val="447"/>
        </w:trPr>
        <w:tc>
          <w:tcPr>
            <w:tcW w:w="2377" w:type="dxa"/>
            <w:vMerge/>
          </w:tcPr>
          <w:p w14:paraId="3AE5BA3D" w14:textId="77777777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</w:tcPr>
          <w:p w14:paraId="1A269AF1" w14:textId="77777777" w:rsidR="00652ED9" w:rsidRPr="00DD6377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dxa"/>
          </w:tcPr>
          <w:p w14:paraId="5612CECA" w14:textId="656BD1BF" w:rsidR="00652ED9" w:rsidRDefault="00652ED9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8" w:type="dxa"/>
          </w:tcPr>
          <w:p w14:paraId="2A9400EA" w14:textId="68950BBE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0AF3C935" w14:textId="79ABF87C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457AB292" w14:textId="2A0AD62C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9" w:type="dxa"/>
          </w:tcPr>
          <w:p w14:paraId="0F216D59" w14:textId="0018281D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106CAECD" w14:textId="38524B17" w:rsidR="00652ED9" w:rsidRDefault="009E782D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2521A2" w14:paraId="7D87E245" w14:textId="77777777" w:rsidTr="00097C9E">
        <w:tc>
          <w:tcPr>
            <w:tcW w:w="2377" w:type="dxa"/>
            <w:vMerge w:val="restart"/>
          </w:tcPr>
          <w:p w14:paraId="3FE05809" w14:textId="72E14214" w:rsidR="002521A2" w:rsidRDefault="00CA740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740C">
              <w:rPr>
                <w:rFonts w:ascii="Times New Roman" w:hAnsi="Times New Roman"/>
              </w:rPr>
              <w:t>Задача 1.7 «Поощрение лиц, имеющих заслуги, получившие общественное признание 2024 год»</w:t>
            </w:r>
            <w:r w:rsidR="009A26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</w:tcPr>
          <w:p w14:paraId="1C9E2B69" w14:textId="659AA81C" w:rsidR="002521A2" w:rsidRPr="00DD6377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Проект Постановления</w:t>
            </w:r>
          </w:p>
        </w:tc>
        <w:tc>
          <w:tcPr>
            <w:tcW w:w="612" w:type="dxa"/>
          </w:tcPr>
          <w:p w14:paraId="7AF42253" w14:textId="5F0043CC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02D5B96D" w14:textId="6202171A" w:rsidR="002521A2" w:rsidRDefault="00545BD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8" w:type="dxa"/>
          </w:tcPr>
          <w:p w14:paraId="5C373408" w14:textId="179E6C3C" w:rsidR="002521A2" w:rsidRDefault="00545BD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4CD401E8" w14:textId="79ACC34C" w:rsidR="002521A2" w:rsidRDefault="00545BD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7C59FA71" w14:textId="127B95A3" w:rsidR="002521A2" w:rsidRDefault="00545BD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25" w:type="dxa"/>
          </w:tcPr>
          <w:p w14:paraId="22E9C719" w14:textId="3FC25628" w:rsidR="002521A2" w:rsidRDefault="00545BD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2521A2" w14:paraId="6986DF85" w14:textId="77777777" w:rsidTr="00097C9E">
        <w:tc>
          <w:tcPr>
            <w:tcW w:w="2377" w:type="dxa"/>
            <w:vMerge/>
          </w:tcPr>
          <w:p w14:paraId="4978E2D9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14:paraId="3DA38748" w14:textId="07603EDC" w:rsidR="002521A2" w:rsidRPr="00DD6377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612" w:type="dxa"/>
          </w:tcPr>
          <w:p w14:paraId="4589B6F0" w14:textId="61CEBA32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4F3BF099" w14:textId="02429561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8" w:type="dxa"/>
          </w:tcPr>
          <w:p w14:paraId="498A0E80" w14:textId="15FB4127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505B1413" w14:textId="72CF87B6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511DF2FF" w14:textId="1E96555E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25" w:type="dxa"/>
          </w:tcPr>
          <w:p w14:paraId="04FFEF2A" w14:textId="0855C18E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2521A2" w14:paraId="79E65686" w14:textId="77777777" w:rsidTr="00097C9E">
        <w:tc>
          <w:tcPr>
            <w:tcW w:w="2377" w:type="dxa"/>
            <w:vMerge/>
          </w:tcPr>
          <w:p w14:paraId="3127F29B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6492F1B5" w14:textId="5A9DCB7F" w:rsidR="002521A2" w:rsidRPr="00DD6377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Отклонения</w:t>
            </w:r>
          </w:p>
        </w:tc>
        <w:tc>
          <w:tcPr>
            <w:tcW w:w="612" w:type="dxa"/>
          </w:tcPr>
          <w:p w14:paraId="744F9EF1" w14:textId="020F9B8F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2D917CDC" w14:textId="5CEF2639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416FE0C2" w14:textId="003E6EC7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7C0E4E56" w14:textId="20F46481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  <w:tc>
          <w:tcPr>
            <w:tcW w:w="1009" w:type="dxa"/>
          </w:tcPr>
          <w:p w14:paraId="4BE02D9B" w14:textId="2383262C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72427097" w14:textId="65A63D98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2521A2" w14:paraId="49FFD63A" w14:textId="77777777" w:rsidTr="00D054F8">
        <w:trPr>
          <w:trHeight w:val="289"/>
        </w:trPr>
        <w:tc>
          <w:tcPr>
            <w:tcW w:w="2377" w:type="dxa"/>
            <w:vMerge/>
          </w:tcPr>
          <w:p w14:paraId="5FA6DC1E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vAlign w:val="center"/>
          </w:tcPr>
          <w:p w14:paraId="1F5741BE" w14:textId="77777777" w:rsidR="002521A2" w:rsidRPr="002521A2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</w:tcPr>
          <w:p w14:paraId="7181DD81" w14:textId="001DA8FE" w:rsidR="002521A2" w:rsidRP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8" w:type="dxa"/>
          </w:tcPr>
          <w:p w14:paraId="1E1B82A5" w14:textId="5D9A370A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206FB342" w14:textId="762C6A3C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783CB11B" w14:textId="60183535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09" w:type="dxa"/>
          </w:tcPr>
          <w:p w14:paraId="4B63599C" w14:textId="1BBE1131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3D7198CD" w14:textId="3595E449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2521A2" w14:paraId="18604064" w14:textId="77777777" w:rsidTr="00E071E4">
        <w:tc>
          <w:tcPr>
            <w:tcW w:w="2377" w:type="dxa"/>
            <w:vMerge w:val="restart"/>
          </w:tcPr>
          <w:p w14:paraId="5B776E4C" w14:textId="232C7AC8" w:rsidR="002521A2" w:rsidRDefault="00CA740C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740C">
              <w:rPr>
                <w:rFonts w:ascii="Times New Roman" w:hAnsi="Times New Roman"/>
              </w:rPr>
              <w:t>мероприятие 1.7.1 «Выплата премии общественного признания Администрации района имени Героя Социалистического труда Парфенова Евгения Ерофеевича 2024 год»</w:t>
            </w:r>
          </w:p>
        </w:tc>
        <w:tc>
          <w:tcPr>
            <w:tcW w:w="1522" w:type="dxa"/>
            <w:vAlign w:val="center"/>
          </w:tcPr>
          <w:p w14:paraId="0FCF4D3A" w14:textId="69BE08CC" w:rsidR="002521A2" w:rsidRPr="002521A2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Проект Постановления</w:t>
            </w:r>
          </w:p>
        </w:tc>
        <w:tc>
          <w:tcPr>
            <w:tcW w:w="612" w:type="dxa"/>
          </w:tcPr>
          <w:p w14:paraId="1ED267F7" w14:textId="3A436EF7" w:rsidR="002521A2" w:rsidRP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08EB238F" w14:textId="526385DB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8" w:type="dxa"/>
          </w:tcPr>
          <w:p w14:paraId="3FBFDA99" w14:textId="4F130B62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3E31FB85" w14:textId="28A88CDD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1E8AF24A" w14:textId="6530C117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25" w:type="dxa"/>
          </w:tcPr>
          <w:p w14:paraId="537DB39C" w14:textId="1A6C8226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2521A2" w14:paraId="5C098190" w14:textId="77777777" w:rsidTr="00E071E4">
        <w:tc>
          <w:tcPr>
            <w:tcW w:w="2377" w:type="dxa"/>
            <w:vMerge/>
          </w:tcPr>
          <w:p w14:paraId="778FA0BA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Align w:val="center"/>
          </w:tcPr>
          <w:p w14:paraId="5C15E7A5" w14:textId="28FA2F37" w:rsidR="002521A2" w:rsidRPr="002521A2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612" w:type="dxa"/>
          </w:tcPr>
          <w:p w14:paraId="4F648A52" w14:textId="10EC905D" w:rsidR="002521A2" w:rsidRP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5F1B3C69" w14:textId="4FC9A9C5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8" w:type="dxa"/>
          </w:tcPr>
          <w:p w14:paraId="32E97311" w14:textId="0682CCBA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40F034BC" w14:textId="62F4AD19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9" w:type="dxa"/>
          </w:tcPr>
          <w:p w14:paraId="5A23D6CE" w14:textId="5FA17464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25" w:type="dxa"/>
          </w:tcPr>
          <w:p w14:paraId="2BF473C1" w14:textId="4FFB1823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2521A2" w14:paraId="7776F9B2" w14:textId="77777777" w:rsidTr="00E071E4">
        <w:tc>
          <w:tcPr>
            <w:tcW w:w="2377" w:type="dxa"/>
            <w:vMerge/>
          </w:tcPr>
          <w:p w14:paraId="17F9AC31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604F9955" w14:textId="5D23F2ED" w:rsidR="002521A2" w:rsidRPr="002521A2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Отклонения</w:t>
            </w:r>
          </w:p>
        </w:tc>
        <w:tc>
          <w:tcPr>
            <w:tcW w:w="612" w:type="dxa"/>
          </w:tcPr>
          <w:p w14:paraId="68BA414C" w14:textId="423AFBA6" w:rsidR="002521A2" w:rsidRP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1A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08" w:type="dxa"/>
          </w:tcPr>
          <w:p w14:paraId="4C67DE45" w14:textId="6ED9E18F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47C6D8DA" w14:textId="37AF2BE7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327A1097" w14:textId="5634079F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  <w:tc>
          <w:tcPr>
            <w:tcW w:w="1009" w:type="dxa"/>
          </w:tcPr>
          <w:p w14:paraId="0FDB5231" w14:textId="25153C46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6BECD367" w14:textId="3AB61748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</w:tr>
      <w:tr w:rsidR="002521A2" w14:paraId="55190CD4" w14:textId="77777777" w:rsidTr="00E071E4">
        <w:tc>
          <w:tcPr>
            <w:tcW w:w="2377" w:type="dxa"/>
            <w:vMerge/>
          </w:tcPr>
          <w:p w14:paraId="027CFE5A" w14:textId="77777777" w:rsid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vAlign w:val="center"/>
          </w:tcPr>
          <w:p w14:paraId="103670C8" w14:textId="77777777" w:rsidR="002521A2" w:rsidRPr="002521A2" w:rsidRDefault="002521A2" w:rsidP="00252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</w:tcPr>
          <w:p w14:paraId="139150F9" w14:textId="6BD4E6BE" w:rsidR="002521A2" w:rsidRPr="002521A2" w:rsidRDefault="002521A2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8" w:type="dxa"/>
          </w:tcPr>
          <w:p w14:paraId="48DC204C" w14:textId="76A7F46D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</w:tcPr>
          <w:p w14:paraId="3FCFD428" w14:textId="2459008C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9" w:type="dxa"/>
          </w:tcPr>
          <w:p w14:paraId="230AE67D" w14:textId="0576B396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09" w:type="dxa"/>
          </w:tcPr>
          <w:p w14:paraId="743908B9" w14:textId="35D421DD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5" w:type="dxa"/>
          </w:tcPr>
          <w:p w14:paraId="4B108DB4" w14:textId="2623E0BF" w:rsidR="002521A2" w:rsidRDefault="00026AF3" w:rsidP="002536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</w:tbl>
    <w:p w14:paraId="7077346F" w14:textId="77777777" w:rsidR="009241EA" w:rsidRDefault="009241EA" w:rsidP="002536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B6D9B" w14:textId="692F283F" w:rsidR="00892469" w:rsidRPr="00602DAB" w:rsidRDefault="00F27E42" w:rsidP="00F27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F27E42">
        <w:rPr>
          <w:rFonts w:ascii="Times New Roman" w:hAnsi="Times New Roman"/>
          <w:b/>
          <w:sz w:val="28"/>
          <w:szCs w:val="28"/>
        </w:rPr>
        <w:t xml:space="preserve">В муниципальной программе «Развитие гражданского общества на территории Каменского района Алтайского края», утвержденной Постановлением Администрации района от 25.03.2022 №266, произошла ошибка в финансовом планировании мероприятий, указанных в </w:t>
      </w:r>
      <w:r w:rsidRPr="00F27E42">
        <w:rPr>
          <w:rFonts w:ascii="Times New Roman" w:hAnsi="Times New Roman"/>
          <w:b/>
          <w:sz w:val="28"/>
          <w:szCs w:val="28"/>
        </w:rPr>
        <w:lastRenderedPageBreak/>
        <w:t xml:space="preserve">Приложении 2 </w:t>
      </w:r>
      <w:r w:rsidR="00CC2826">
        <w:rPr>
          <w:rFonts w:ascii="Times New Roman" w:hAnsi="Times New Roman"/>
          <w:b/>
          <w:sz w:val="28"/>
          <w:szCs w:val="28"/>
        </w:rPr>
        <w:t>по</w:t>
      </w:r>
      <w:r w:rsidRPr="00F27E42">
        <w:rPr>
          <w:rFonts w:ascii="Times New Roman" w:hAnsi="Times New Roman"/>
          <w:b/>
          <w:sz w:val="28"/>
          <w:szCs w:val="28"/>
        </w:rPr>
        <w:t xml:space="preserve"> стр</w:t>
      </w:r>
      <w:r w:rsidR="00CC2826">
        <w:rPr>
          <w:rFonts w:ascii="Times New Roman" w:hAnsi="Times New Roman"/>
          <w:b/>
          <w:sz w:val="28"/>
          <w:szCs w:val="28"/>
        </w:rPr>
        <w:t>оке</w:t>
      </w:r>
      <w:r w:rsidRPr="00F27E42">
        <w:rPr>
          <w:rFonts w:ascii="Times New Roman" w:hAnsi="Times New Roman"/>
          <w:b/>
          <w:sz w:val="28"/>
          <w:szCs w:val="28"/>
        </w:rPr>
        <w:t xml:space="preserve"> 8. В первоначальном проекте программы, финансирование мероприятия (предположительно, имеется в виду Мероприятие 1.2.2, судя по последующим уточнениям) было запланировано в размере 100 тысяч рублей ежегодно на 2023, 2024 и 2025 годы. </w:t>
      </w:r>
      <w:r w:rsidR="00E34078" w:rsidRPr="00E34078">
        <w:rPr>
          <w:rFonts w:ascii="Times New Roman" w:hAnsi="Times New Roman"/>
          <w:b/>
          <w:sz w:val="28"/>
          <w:szCs w:val="28"/>
          <w:u w:val="single"/>
        </w:rPr>
        <w:t>В проекте Постановления информация об объем</w:t>
      </w:r>
      <w:r w:rsidR="009B3A5A">
        <w:rPr>
          <w:rFonts w:ascii="Times New Roman" w:hAnsi="Times New Roman"/>
          <w:b/>
          <w:sz w:val="28"/>
          <w:szCs w:val="28"/>
          <w:u w:val="single"/>
        </w:rPr>
        <w:t>ах</w:t>
      </w:r>
      <w:r w:rsidR="00E34078" w:rsidRPr="00E34078">
        <w:rPr>
          <w:rFonts w:ascii="Times New Roman" w:hAnsi="Times New Roman"/>
          <w:b/>
          <w:sz w:val="28"/>
          <w:szCs w:val="28"/>
          <w:u w:val="single"/>
        </w:rPr>
        <w:t xml:space="preserve"> финансирования Задачи 1.2  и мероприятии 1.2.2 в разрезе 2023--2025гг. оказалась</w:t>
      </w:r>
      <w:r w:rsidRPr="00E34078">
        <w:rPr>
          <w:rFonts w:ascii="Times New Roman" w:hAnsi="Times New Roman"/>
          <w:b/>
          <w:sz w:val="28"/>
          <w:szCs w:val="28"/>
          <w:u w:val="single"/>
        </w:rPr>
        <w:t xml:space="preserve"> неверной.</w:t>
      </w:r>
      <w:r w:rsidRPr="00F27E42">
        <w:rPr>
          <w:rFonts w:ascii="Times New Roman" w:hAnsi="Times New Roman"/>
          <w:b/>
          <w:sz w:val="28"/>
          <w:szCs w:val="28"/>
        </w:rPr>
        <w:t xml:space="preserve"> Постановлением от 28.09.2022 №1003 были внесены корректировки в бюджет программы, снижающие финансирование Мероприятия 1.2.2 на 20 тысяч рублей. Важно отметить, что снижение финансирования на 20 тысяч рублей затронуло только конкретное мероприятие (1.2.2), а не всю Задачу 1.2, к которой это мероприятие относится. Это создает несоответствие в структуре бюджета программы. В идеале, уменьшение финансирования на уровне конкретного мероприятия должно было автоматически привести к корректировке общей суммы финансирования Задачи 1.2. Отсутствие подобной корректировки указывает на нарушение принципа целостности бюджетного планирования. Это может привести к неточностям в отчетности и сложностям при контроле </w:t>
      </w:r>
      <w:r w:rsidR="007738CD">
        <w:rPr>
          <w:rFonts w:ascii="Times New Roman" w:hAnsi="Times New Roman"/>
          <w:b/>
          <w:sz w:val="28"/>
          <w:szCs w:val="28"/>
        </w:rPr>
        <w:t>над</w:t>
      </w:r>
      <w:r w:rsidRPr="00F27E42">
        <w:rPr>
          <w:rFonts w:ascii="Times New Roman" w:hAnsi="Times New Roman"/>
          <w:b/>
          <w:sz w:val="28"/>
          <w:szCs w:val="28"/>
        </w:rPr>
        <w:t xml:space="preserve"> использованием бюджетных средств. </w:t>
      </w:r>
    </w:p>
    <w:bookmarkEnd w:id="0"/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03D6371" w14:textId="3D3D0568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52C5AD13" w14:textId="204228D1" w:rsidR="009B3A5A" w:rsidRDefault="009B3A5A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B3A5A">
        <w:rPr>
          <w:rFonts w:ascii="Times New Roman" w:hAnsi="Times New Roman"/>
          <w:b/>
          <w:sz w:val="28"/>
          <w:szCs w:val="28"/>
          <w:lang w:eastAsia="ru-RU"/>
        </w:rPr>
        <w:t>В проекте Постановления информация об объем</w:t>
      </w:r>
      <w:r>
        <w:rPr>
          <w:rFonts w:ascii="Times New Roman" w:hAnsi="Times New Roman"/>
          <w:b/>
          <w:sz w:val="28"/>
          <w:szCs w:val="28"/>
          <w:lang w:eastAsia="ru-RU"/>
        </w:rPr>
        <w:t>ах</w:t>
      </w:r>
      <w:r w:rsidRPr="009B3A5A">
        <w:rPr>
          <w:rFonts w:ascii="Times New Roman" w:hAnsi="Times New Roman"/>
          <w:b/>
          <w:sz w:val="28"/>
          <w:szCs w:val="28"/>
          <w:lang w:eastAsia="ru-RU"/>
        </w:rPr>
        <w:t xml:space="preserve"> финансирования Задачи 1.2  и мероприятии 1.2.2 в разрезе 2023--2025гг. оказалась неверной.</w:t>
      </w:r>
    </w:p>
    <w:p w14:paraId="032263AA" w14:textId="77777777" w:rsidR="00896032" w:rsidRDefault="00896032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7AD3B698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Ответственному исполнителю -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45466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Каменского района алтайского края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3D4E57D1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</w:t>
      </w:r>
      <w:r w:rsidR="00D76C9F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согласование муниципальной программы с соисполнителями в части касающейся реализуемых ими мероприятий;</w:t>
      </w:r>
    </w:p>
    <w:p w14:paraId="52EF3FB0" w14:textId="78C39872" w:rsidR="00E403DF" w:rsidRPr="00E403DF" w:rsidRDefault="00E403DF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Администрации Каменского района Алтайского края –</w:t>
      </w:r>
      <w:r w:rsidR="00D76C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8714AB" w:rsidRPr="008714AB"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Администрации Каменского района Алтайского края «О </w:t>
      </w:r>
      <w:r w:rsidR="008714AB" w:rsidRPr="008714AB">
        <w:rPr>
          <w:rFonts w:ascii="Times New Roman" w:hAnsi="Times New Roman"/>
          <w:sz w:val="28"/>
          <w:szCs w:val="28"/>
          <w:lang w:eastAsia="ru-RU"/>
        </w:rPr>
        <w:lastRenderedPageBreak/>
        <w:t>внесении изменений в  постановление  Администрации района от 25.03.2022 №266 «Об утверждении муниципальной программы «Развитие гражданского общества на территории Каменского района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p w14:paraId="7181B7D7" w14:textId="1CF4CD95" w:rsidR="003E1BB0" w:rsidRPr="003E1BB0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154C4" w14:textId="56D072A1" w:rsidR="0048493E" w:rsidRPr="000747FE" w:rsidRDefault="0048493E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0D976" w14:textId="77777777" w:rsidR="004139C8" w:rsidRDefault="004139C8" w:rsidP="00EC2631">
      <w:pPr>
        <w:spacing w:after="0" w:line="240" w:lineRule="auto"/>
      </w:pPr>
      <w:r>
        <w:separator/>
      </w:r>
    </w:p>
  </w:endnote>
  <w:endnote w:type="continuationSeparator" w:id="0">
    <w:p w14:paraId="2BA8F489" w14:textId="77777777" w:rsidR="004139C8" w:rsidRDefault="004139C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57941" w14:textId="77777777" w:rsidR="004139C8" w:rsidRDefault="004139C8" w:rsidP="00EC2631">
      <w:pPr>
        <w:spacing w:after="0" w:line="240" w:lineRule="auto"/>
      </w:pPr>
      <w:r>
        <w:separator/>
      </w:r>
    </w:p>
  </w:footnote>
  <w:footnote w:type="continuationSeparator" w:id="0">
    <w:p w14:paraId="1B0E09D0" w14:textId="77777777" w:rsidR="004139C8" w:rsidRDefault="004139C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4A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C03AF9"/>
    <w:multiLevelType w:val="hybridMultilevel"/>
    <w:tmpl w:val="0862D5CC"/>
    <w:lvl w:ilvl="0" w:tplc="4CA4AE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3177"/>
    <w:rsid w:val="0001490F"/>
    <w:rsid w:val="000152BC"/>
    <w:rsid w:val="0001735C"/>
    <w:rsid w:val="0002476B"/>
    <w:rsid w:val="000268AC"/>
    <w:rsid w:val="00026AF3"/>
    <w:rsid w:val="00037531"/>
    <w:rsid w:val="00041139"/>
    <w:rsid w:val="00043D04"/>
    <w:rsid w:val="000450FA"/>
    <w:rsid w:val="00047A0A"/>
    <w:rsid w:val="0005665B"/>
    <w:rsid w:val="00060ACC"/>
    <w:rsid w:val="00064154"/>
    <w:rsid w:val="0006701F"/>
    <w:rsid w:val="00070968"/>
    <w:rsid w:val="000747FE"/>
    <w:rsid w:val="000770BD"/>
    <w:rsid w:val="0008042F"/>
    <w:rsid w:val="000810A7"/>
    <w:rsid w:val="00091330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1C74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2824"/>
    <w:rsid w:val="00123565"/>
    <w:rsid w:val="001276D3"/>
    <w:rsid w:val="001309A4"/>
    <w:rsid w:val="00133EEE"/>
    <w:rsid w:val="0013412D"/>
    <w:rsid w:val="00136173"/>
    <w:rsid w:val="0014293B"/>
    <w:rsid w:val="00144696"/>
    <w:rsid w:val="00144D4B"/>
    <w:rsid w:val="00145E0A"/>
    <w:rsid w:val="00147FE1"/>
    <w:rsid w:val="00152D7B"/>
    <w:rsid w:val="00154A71"/>
    <w:rsid w:val="001565C7"/>
    <w:rsid w:val="0015701E"/>
    <w:rsid w:val="0016171D"/>
    <w:rsid w:val="00167D40"/>
    <w:rsid w:val="00172047"/>
    <w:rsid w:val="001750FA"/>
    <w:rsid w:val="00176823"/>
    <w:rsid w:val="0018077E"/>
    <w:rsid w:val="00180981"/>
    <w:rsid w:val="00180EE7"/>
    <w:rsid w:val="001812D7"/>
    <w:rsid w:val="0018311C"/>
    <w:rsid w:val="00185261"/>
    <w:rsid w:val="001860C8"/>
    <w:rsid w:val="00193401"/>
    <w:rsid w:val="0019632E"/>
    <w:rsid w:val="001967C6"/>
    <w:rsid w:val="001A172B"/>
    <w:rsid w:val="001A41C2"/>
    <w:rsid w:val="001B0996"/>
    <w:rsid w:val="001C4A25"/>
    <w:rsid w:val="001E4816"/>
    <w:rsid w:val="001E5DD2"/>
    <w:rsid w:val="001E6153"/>
    <w:rsid w:val="001F057C"/>
    <w:rsid w:val="001F0601"/>
    <w:rsid w:val="001F6B57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179"/>
    <w:rsid w:val="002521A2"/>
    <w:rsid w:val="0025367B"/>
    <w:rsid w:val="0027136F"/>
    <w:rsid w:val="0028080E"/>
    <w:rsid w:val="00281571"/>
    <w:rsid w:val="002816B5"/>
    <w:rsid w:val="0028498E"/>
    <w:rsid w:val="00286C84"/>
    <w:rsid w:val="00290738"/>
    <w:rsid w:val="00291234"/>
    <w:rsid w:val="002949ED"/>
    <w:rsid w:val="00296439"/>
    <w:rsid w:val="002A1590"/>
    <w:rsid w:val="002A1AA9"/>
    <w:rsid w:val="002A2137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D5708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762D9"/>
    <w:rsid w:val="00380CDC"/>
    <w:rsid w:val="003851C5"/>
    <w:rsid w:val="003853B8"/>
    <w:rsid w:val="00385508"/>
    <w:rsid w:val="003902FD"/>
    <w:rsid w:val="003A6D34"/>
    <w:rsid w:val="003A79EA"/>
    <w:rsid w:val="003B7B7B"/>
    <w:rsid w:val="003C3854"/>
    <w:rsid w:val="003C5790"/>
    <w:rsid w:val="003C774F"/>
    <w:rsid w:val="003D4267"/>
    <w:rsid w:val="003D43BF"/>
    <w:rsid w:val="003D4939"/>
    <w:rsid w:val="003D7CA9"/>
    <w:rsid w:val="003E0853"/>
    <w:rsid w:val="003E1BB0"/>
    <w:rsid w:val="003E2B91"/>
    <w:rsid w:val="003E4F05"/>
    <w:rsid w:val="003E522E"/>
    <w:rsid w:val="003E792C"/>
    <w:rsid w:val="003F1807"/>
    <w:rsid w:val="003F360A"/>
    <w:rsid w:val="003F4F2D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9C8"/>
    <w:rsid w:val="00415D65"/>
    <w:rsid w:val="00425FB5"/>
    <w:rsid w:val="004264FF"/>
    <w:rsid w:val="00427F81"/>
    <w:rsid w:val="004351FE"/>
    <w:rsid w:val="0044122E"/>
    <w:rsid w:val="00441C0E"/>
    <w:rsid w:val="00443FCA"/>
    <w:rsid w:val="004524F7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6D5C"/>
    <w:rsid w:val="00517CCF"/>
    <w:rsid w:val="00526EF2"/>
    <w:rsid w:val="00533EEF"/>
    <w:rsid w:val="00533F49"/>
    <w:rsid w:val="00534D64"/>
    <w:rsid w:val="00535F42"/>
    <w:rsid w:val="0054314E"/>
    <w:rsid w:val="00545BDC"/>
    <w:rsid w:val="00553508"/>
    <w:rsid w:val="00554633"/>
    <w:rsid w:val="00560AD9"/>
    <w:rsid w:val="00566426"/>
    <w:rsid w:val="005676B8"/>
    <w:rsid w:val="005757A0"/>
    <w:rsid w:val="005822C7"/>
    <w:rsid w:val="00585415"/>
    <w:rsid w:val="005865B1"/>
    <w:rsid w:val="005865B2"/>
    <w:rsid w:val="005872D9"/>
    <w:rsid w:val="0059741B"/>
    <w:rsid w:val="005A24E4"/>
    <w:rsid w:val="005A58DE"/>
    <w:rsid w:val="005A76A2"/>
    <w:rsid w:val="005B3DDE"/>
    <w:rsid w:val="005B3E88"/>
    <w:rsid w:val="005C13CC"/>
    <w:rsid w:val="005E0835"/>
    <w:rsid w:val="005E1BA6"/>
    <w:rsid w:val="005E6935"/>
    <w:rsid w:val="005F0FF3"/>
    <w:rsid w:val="005F18DE"/>
    <w:rsid w:val="005F1AF5"/>
    <w:rsid w:val="005F2B71"/>
    <w:rsid w:val="005F583D"/>
    <w:rsid w:val="005F7898"/>
    <w:rsid w:val="00602DAB"/>
    <w:rsid w:val="00605323"/>
    <w:rsid w:val="00614E70"/>
    <w:rsid w:val="0062085E"/>
    <w:rsid w:val="00620D94"/>
    <w:rsid w:val="0062207D"/>
    <w:rsid w:val="006230A8"/>
    <w:rsid w:val="00623E55"/>
    <w:rsid w:val="00626096"/>
    <w:rsid w:val="00630B40"/>
    <w:rsid w:val="00640984"/>
    <w:rsid w:val="006503EA"/>
    <w:rsid w:val="00651926"/>
    <w:rsid w:val="00652ED9"/>
    <w:rsid w:val="006556E7"/>
    <w:rsid w:val="00655B55"/>
    <w:rsid w:val="00656131"/>
    <w:rsid w:val="0065713B"/>
    <w:rsid w:val="00657A4F"/>
    <w:rsid w:val="0066444C"/>
    <w:rsid w:val="00666738"/>
    <w:rsid w:val="0066791F"/>
    <w:rsid w:val="006704A6"/>
    <w:rsid w:val="006768C0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3A18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6F17F5"/>
    <w:rsid w:val="006F5C87"/>
    <w:rsid w:val="00702B69"/>
    <w:rsid w:val="0070503A"/>
    <w:rsid w:val="007059B8"/>
    <w:rsid w:val="007137EB"/>
    <w:rsid w:val="00715296"/>
    <w:rsid w:val="00723EF4"/>
    <w:rsid w:val="00734A09"/>
    <w:rsid w:val="00735AF2"/>
    <w:rsid w:val="00735C80"/>
    <w:rsid w:val="00743411"/>
    <w:rsid w:val="00743747"/>
    <w:rsid w:val="00746066"/>
    <w:rsid w:val="00751670"/>
    <w:rsid w:val="0075211C"/>
    <w:rsid w:val="007623EE"/>
    <w:rsid w:val="00767832"/>
    <w:rsid w:val="0077032F"/>
    <w:rsid w:val="007714AD"/>
    <w:rsid w:val="007728A8"/>
    <w:rsid w:val="007738CD"/>
    <w:rsid w:val="007814E7"/>
    <w:rsid w:val="007825E3"/>
    <w:rsid w:val="00786E4F"/>
    <w:rsid w:val="00794CA5"/>
    <w:rsid w:val="00795427"/>
    <w:rsid w:val="00796180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D1FE6"/>
    <w:rsid w:val="007E0C10"/>
    <w:rsid w:val="007E18DB"/>
    <w:rsid w:val="007E2723"/>
    <w:rsid w:val="007E6E6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274E"/>
    <w:rsid w:val="00843D20"/>
    <w:rsid w:val="008449C3"/>
    <w:rsid w:val="008604D4"/>
    <w:rsid w:val="00860EDA"/>
    <w:rsid w:val="00863C0A"/>
    <w:rsid w:val="008714AB"/>
    <w:rsid w:val="00871BE1"/>
    <w:rsid w:val="00875ECC"/>
    <w:rsid w:val="008828CE"/>
    <w:rsid w:val="00883AF8"/>
    <w:rsid w:val="00892469"/>
    <w:rsid w:val="00892E39"/>
    <w:rsid w:val="00896032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8F1D8D"/>
    <w:rsid w:val="009054C4"/>
    <w:rsid w:val="00907806"/>
    <w:rsid w:val="00910C46"/>
    <w:rsid w:val="00914D00"/>
    <w:rsid w:val="00915791"/>
    <w:rsid w:val="00920A01"/>
    <w:rsid w:val="009241EA"/>
    <w:rsid w:val="00925EC9"/>
    <w:rsid w:val="00926283"/>
    <w:rsid w:val="00927566"/>
    <w:rsid w:val="00930815"/>
    <w:rsid w:val="00932300"/>
    <w:rsid w:val="00932B94"/>
    <w:rsid w:val="00934AEE"/>
    <w:rsid w:val="00951298"/>
    <w:rsid w:val="009719F9"/>
    <w:rsid w:val="00972046"/>
    <w:rsid w:val="0097351D"/>
    <w:rsid w:val="00973BFD"/>
    <w:rsid w:val="00977245"/>
    <w:rsid w:val="00980516"/>
    <w:rsid w:val="0098270B"/>
    <w:rsid w:val="009845EC"/>
    <w:rsid w:val="00985023"/>
    <w:rsid w:val="00991FC5"/>
    <w:rsid w:val="009A2635"/>
    <w:rsid w:val="009A4376"/>
    <w:rsid w:val="009A66FC"/>
    <w:rsid w:val="009A6B80"/>
    <w:rsid w:val="009A77BA"/>
    <w:rsid w:val="009B18E4"/>
    <w:rsid w:val="009B37D8"/>
    <w:rsid w:val="009B3A5A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11DA"/>
    <w:rsid w:val="009D622B"/>
    <w:rsid w:val="009E10A2"/>
    <w:rsid w:val="009E782D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4AA"/>
    <w:rsid w:val="00AC3A17"/>
    <w:rsid w:val="00AE1BAB"/>
    <w:rsid w:val="00AE5AA3"/>
    <w:rsid w:val="00B0021E"/>
    <w:rsid w:val="00B04C84"/>
    <w:rsid w:val="00B04DC0"/>
    <w:rsid w:val="00B06353"/>
    <w:rsid w:val="00B07268"/>
    <w:rsid w:val="00B112B2"/>
    <w:rsid w:val="00B14308"/>
    <w:rsid w:val="00B15C42"/>
    <w:rsid w:val="00B21C23"/>
    <w:rsid w:val="00B32FAA"/>
    <w:rsid w:val="00B33D78"/>
    <w:rsid w:val="00B37D62"/>
    <w:rsid w:val="00B45466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C7AFB"/>
    <w:rsid w:val="00BD702E"/>
    <w:rsid w:val="00BE2F17"/>
    <w:rsid w:val="00BE78E3"/>
    <w:rsid w:val="00BF3462"/>
    <w:rsid w:val="00C018F7"/>
    <w:rsid w:val="00C1184E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A740C"/>
    <w:rsid w:val="00CB5C85"/>
    <w:rsid w:val="00CC1138"/>
    <w:rsid w:val="00CC2826"/>
    <w:rsid w:val="00CC732A"/>
    <w:rsid w:val="00CD0593"/>
    <w:rsid w:val="00CE043D"/>
    <w:rsid w:val="00CE15B8"/>
    <w:rsid w:val="00CE3C1B"/>
    <w:rsid w:val="00CF0138"/>
    <w:rsid w:val="00CF124D"/>
    <w:rsid w:val="00CF2FCD"/>
    <w:rsid w:val="00CF450A"/>
    <w:rsid w:val="00D01298"/>
    <w:rsid w:val="00D054F8"/>
    <w:rsid w:val="00D06CA3"/>
    <w:rsid w:val="00D11EFC"/>
    <w:rsid w:val="00D14031"/>
    <w:rsid w:val="00D146F7"/>
    <w:rsid w:val="00D44A95"/>
    <w:rsid w:val="00D466A8"/>
    <w:rsid w:val="00D50D0B"/>
    <w:rsid w:val="00D514EE"/>
    <w:rsid w:val="00D55AFA"/>
    <w:rsid w:val="00D55CFA"/>
    <w:rsid w:val="00D57279"/>
    <w:rsid w:val="00D62BA2"/>
    <w:rsid w:val="00D64C7A"/>
    <w:rsid w:val="00D65479"/>
    <w:rsid w:val="00D67065"/>
    <w:rsid w:val="00D76C9F"/>
    <w:rsid w:val="00D77C3B"/>
    <w:rsid w:val="00D80F45"/>
    <w:rsid w:val="00D85015"/>
    <w:rsid w:val="00D92777"/>
    <w:rsid w:val="00D928BD"/>
    <w:rsid w:val="00D95237"/>
    <w:rsid w:val="00DA049E"/>
    <w:rsid w:val="00DA55F6"/>
    <w:rsid w:val="00DA56E7"/>
    <w:rsid w:val="00DB0891"/>
    <w:rsid w:val="00DB379C"/>
    <w:rsid w:val="00DB435C"/>
    <w:rsid w:val="00DB58BE"/>
    <w:rsid w:val="00DB7343"/>
    <w:rsid w:val="00DC1402"/>
    <w:rsid w:val="00DC6188"/>
    <w:rsid w:val="00DD1C1E"/>
    <w:rsid w:val="00DD28FC"/>
    <w:rsid w:val="00DD6377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4078"/>
    <w:rsid w:val="00E35875"/>
    <w:rsid w:val="00E36724"/>
    <w:rsid w:val="00E403DF"/>
    <w:rsid w:val="00E45918"/>
    <w:rsid w:val="00E55977"/>
    <w:rsid w:val="00E57356"/>
    <w:rsid w:val="00E5756A"/>
    <w:rsid w:val="00E61A29"/>
    <w:rsid w:val="00E6466F"/>
    <w:rsid w:val="00E64D6F"/>
    <w:rsid w:val="00E6622F"/>
    <w:rsid w:val="00E91FC9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22163"/>
    <w:rsid w:val="00F27E42"/>
    <w:rsid w:val="00F306EB"/>
    <w:rsid w:val="00F34A2F"/>
    <w:rsid w:val="00F433B1"/>
    <w:rsid w:val="00F51212"/>
    <w:rsid w:val="00F550E7"/>
    <w:rsid w:val="00F57007"/>
    <w:rsid w:val="00F60120"/>
    <w:rsid w:val="00F62746"/>
    <w:rsid w:val="00F6448F"/>
    <w:rsid w:val="00F7042A"/>
    <w:rsid w:val="00F7468E"/>
    <w:rsid w:val="00F77ECF"/>
    <w:rsid w:val="00F80AB2"/>
    <w:rsid w:val="00F8140B"/>
    <w:rsid w:val="00F9178B"/>
    <w:rsid w:val="00FA0B3F"/>
    <w:rsid w:val="00FA7CB7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4B9F-0143-45EC-96AE-17A8395E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92</cp:revision>
  <cp:lastPrinted>2024-11-11T04:05:00Z</cp:lastPrinted>
  <dcterms:created xsi:type="dcterms:W3CDTF">2024-03-18T06:54:00Z</dcterms:created>
  <dcterms:modified xsi:type="dcterms:W3CDTF">2024-11-11T04:10:00Z</dcterms:modified>
</cp:coreProperties>
</file>