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75B56F90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</w:t>
      </w:r>
      <w:r w:rsidR="00675A98">
        <w:rPr>
          <w:rFonts w:ascii="Times New Roman" w:hAnsi="Times New Roman"/>
          <w:sz w:val="28"/>
          <w:szCs w:val="28"/>
          <w:u w:val="single"/>
        </w:rPr>
        <w:t>20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</w:t>
      </w:r>
      <w:r w:rsidR="00255CD3">
        <w:rPr>
          <w:rFonts w:ascii="Times New Roman" w:hAnsi="Times New Roman"/>
          <w:sz w:val="28"/>
          <w:szCs w:val="28"/>
          <w:u w:val="single"/>
        </w:rPr>
        <w:t>5</w:t>
      </w:r>
      <w:r w:rsidR="00675A98">
        <w:rPr>
          <w:rFonts w:ascii="Times New Roman" w:hAnsi="Times New Roman"/>
          <w:sz w:val="28"/>
          <w:szCs w:val="28"/>
          <w:u w:val="single"/>
        </w:rPr>
        <w:t>3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71F06B0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C93D19">
        <w:rPr>
          <w:rFonts w:ascii="Times New Roman" w:hAnsi="Times New Roman"/>
          <w:sz w:val="28"/>
          <w:szCs w:val="28"/>
        </w:rPr>
        <w:t>Гоноховского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C93D19">
        <w:rPr>
          <w:rFonts w:ascii="Times New Roman" w:hAnsi="Times New Roman"/>
          <w:sz w:val="28"/>
          <w:szCs w:val="28"/>
        </w:rPr>
        <w:t>Гоноховский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0C0D95E5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37012E">
        <w:rPr>
          <w:rFonts w:ascii="Times New Roman" w:hAnsi="Times New Roman"/>
          <w:sz w:val="28"/>
          <w:szCs w:val="28"/>
        </w:rPr>
        <w:t>20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37012E">
        <w:rPr>
          <w:rFonts w:ascii="Times New Roman" w:hAnsi="Times New Roman"/>
          <w:sz w:val="28"/>
          <w:szCs w:val="28"/>
        </w:rPr>
        <w:t>20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</w:t>
      </w:r>
      <w:proofErr w:type="spellStart"/>
      <w:r w:rsidRPr="0054533A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54533A">
        <w:rPr>
          <w:rFonts w:ascii="Times New Roman" w:hAnsi="Times New Roman"/>
          <w:sz w:val="28"/>
          <w:szCs w:val="28"/>
        </w:rPr>
        <w:t xml:space="preserve">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78A92735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C93D19" w:rsidRPr="00C93D19">
        <w:rPr>
          <w:rFonts w:ascii="Times New Roman" w:hAnsi="Times New Roman"/>
          <w:sz w:val="28"/>
          <w:szCs w:val="28"/>
        </w:rPr>
        <w:t>С. П. Изосимовой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</w:t>
      </w:r>
      <w:proofErr w:type="gramStart"/>
      <w:r w:rsidRPr="002E3D3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0CAB2843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C93D19">
        <w:rPr>
          <w:rFonts w:ascii="Times New Roman" w:hAnsi="Times New Roman"/>
          <w:sz w:val="28"/>
          <w:szCs w:val="28"/>
        </w:rPr>
        <w:t xml:space="preserve">    </w:t>
      </w:r>
      <w:r w:rsidR="00C93D19" w:rsidRPr="00C93D19">
        <w:rPr>
          <w:rFonts w:ascii="Times New Roman" w:hAnsi="Times New Roman"/>
          <w:sz w:val="28"/>
          <w:szCs w:val="28"/>
        </w:rPr>
        <w:t>Т.А. Бобылевой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454EFD8B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C93D19">
        <w:rPr>
          <w:rFonts w:ascii="Times New Roman" w:hAnsi="Times New Roman" w:cs="Times New Roman"/>
          <w:bCs/>
          <w:sz w:val="28"/>
          <w:szCs w:val="28"/>
        </w:rPr>
        <w:t>Гоноховского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93D19">
        <w:rPr>
          <w:rFonts w:ascii="Times New Roman" w:hAnsi="Times New Roman" w:cs="Times New Roman"/>
          <w:bCs/>
          <w:sz w:val="28"/>
          <w:szCs w:val="28"/>
        </w:rPr>
        <w:t>Гоноховский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6C417395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B244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75A9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B2444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B2444C" w:rsidRPr="00B2444C">
        <w:rPr>
          <w:rFonts w:ascii="Times New Roman" w:hAnsi="Times New Roman" w:cs="Times New Roman"/>
          <w:sz w:val="28"/>
          <w:szCs w:val="28"/>
          <w:u w:val="single"/>
        </w:rPr>
        <w:t>№18</w:t>
      </w:r>
      <w:r w:rsidR="00675A9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63E87549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C93D19" w:rsidRPr="00C93D19">
        <w:rPr>
          <w:rFonts w:ascii="Times New Roman" w:hAnsi="Times New Roman" w:cs="Times New Roman"/>
          <w:sz w:val="28"/>
          <w:szCs w:val="28"/>
        </w:rPr>
        <w:t>24.12.2021 № 29</w:t>
      </w:r>
      <w:r w:rsidR="00B3257A" w:rsidRPr="00B3257A">
        <w:rPr>
          <w:rFonts w:ascii="Times New Roman" w:hAnsi="Times New Roman" w:cs="Times New Roman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565A55">
        <w:rPr>
          <w:rFonts w:ascii="Times New Roman" w:hAnsi="Times New Roman" w:cs="Times New Roman"/>
          <w:sz w:val="28"/>
          <w:szCs w:val="28"/>
        </w:rPr>
        <w:t>20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B2444C">
        <w:rPr>
          <w:rFonts w:ascii="Times New Roman" w:hAnsi="Times New Roman" w:cs="Times New Roman"/>
          <w:sz w:val="28"/>
          <w:szCs w:val="28"/>
        </w:rPr>
        <w:t>5</w:t>
      </w:r>
      <w:r w:rsidR="00565A55">
        <w:rPr>
          <w:rFonts w:ascii="Times New Roman" w:hAnsi="Times New Roman" w:cs="Times New Roman"/>
          <w:sz w:val="28"/>
          <w:szCs w:val="28"/>
        </w:rPr>
        <w:t>3</w:t>
      </w:r>
      <w:r w:rsidR="00B3257A">
        <w:rPr>
          <w:rFonts w:ascii="Times New Roman" w:hAnsi="Times New Roman" w:cs="Times New Roman"/>
          <w:sz w:val="28"/>
          <w:szCs w:val="28"/>
        </w:rPr>
        <w:t>.</w:t>
      </w:r>
      <w:r w:rsidR="00B24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2810" w14:textId="36A64C47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93D19">
        <w:rPr>
          <w:rFonts w:ascii="Times New Roman" w:hAnsi="Times New Roman" w:cs="Times New Roman"/>
          <w:sz w:val="28"/>
          <w:szCs w:val="28"/>
        </w:rPr>
        <w:lastRenderedPageBreak/>
        <w:t>Гоноховский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517352D3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 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5B6E7373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C93D19">
        <w:rPr>
          <w:rFonts w:ascii="Times New Roman" w:hAnsi="Times New Roman" w:cs="Times New Roman"/>
          <w:sz w:val="28"/>
          <w:szCs w:val="28"/>
          <w:lang w:eastAsia="ru-RU"/>
        </w:rPr>
        <w:t>Гоноховского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93D19">
        <w:rPr>
          <w:rFonts w:ascii="Times New Roman" w:hAnsi="Times New Roman" w:cs="Times New Roman"/>
          <w:sz w:val="28"/>
          <w:szCs w:val="28"/>
          <w:lang w:eastAsia="ru-RU"/>
        </w:rPr>
        <w:t>Гоноховский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F6AC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1016F0D2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C93D19">
        <w:rPr>
          <w:rFonts w:ascii="Times New Roman" w:hAnsi="Times New Roman" w:cs="Times New Roman"/>
          <w:sz w:val="28"/>
          <w:szCs w:val="28"/>
          <w:lang w:eastAsia="ru-RU"/>
        </w:rPr>
        <w:t>Гоноховского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93D19">
        <w:rPr>
          <w:rFonts w:ascii="Times New Roman" w:hAnsi="Times New Roman" w:cs="Times New Roman"/>
          <w:sz w:val="28"/>
          <w:szCs w:val="28"/>
          <w:lang w:eastAsia="ru-RU"/>
        </w:rPr>
        <w:t>Гоноховский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9805C5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A271A6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1. Проект решения;</w:t>
      </w:r>
    </w:p>
    <w:p w14:paraId="1BEED4B5" w14:textId="0A8C43CD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2. </w:t>
      </w:r>
      <w:r w:rsidR="001E1345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и основные направления налоговой политики;</w:t>
      </w:r>
    </w:p>
    <w:p w14:paraId="3462F0B5" w14:textId="1E2C5C84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3. </w:t>
      </w:r>
      <w:r w:rsidR="001E1345">
        <w:rPr>
          <w:rFonts w:ascii="Times New Roman" w:hAnsi="Times New Roman" w:cs="Times New Roman"/>
          <w:sz w:val="28"/>
          <w:szCs w:val="28"/>
        </w:rPr>
        <w:t>Предварительные итоги социально – экономического развития сельсовета за истекший период текущего финансового года и ожидаемые итоги социально- экономического развития сельсовета за текущий финансовый год;</w:t>
      </w:r>
    </w:p>
    <w:p w14:paraId="52B91822" w14:textId="474AA09A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4. </w:t>
      </w:r>
      <w:r w:rsidR="001E1345">
        <w:rPr>
          <w:rFonts w:ascii="Times New Roman" w:hAnsi="Times New Roman" w:cs="Times New Roman"/>
          <w:sz w:val="28"/>
          <w:szCs w:val="28"/>
        </w:rPr>
        <w:t>Прогноз социально – экономического развития сельсовета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21DFBC07" w14:textId="76AA2304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5. </w:t>
      </w:r>
      <w:r w:rsidR="001E1345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 и расходов, дефицита (профицита) бюджета) бюджета сельсовета на очередной финансовый год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1F3D0CB2" w14:textId="014B4484" w:rsidR="009805C5" w:rsidRPr="009805C5" w:rsidRDefault="001E134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Пояснительная записка</w:t>
      </w:r>
      <w:r w:rsidR="009805C5" w:rsidRPr="009805C5">
        <w:rPr>
          <w:rFonts w:ascii="Times New Roman" w:hAnsi="Times New Roman" w:cs="Times New Roman"/>
          <w:sz w:val="28"/>
          <w:szCs w:val="28"/>
        </w:rPr>
        <w:t>;</w:t>
      </w:r>
    </w:p>
    <w:p w14:paraId="041CCC54" w14:textId="0F4F8973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7.  </w:t>
      </w:r>
      <w:r w:rsidR="001E1345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долгана 1 января года, </w:t>
      </w:r>
      <w:r w:rsidR="001E1345">
        <w:rPr>
          <w:rFonts w:ascii="Times New Roman" w:hAnsi="Times New Roman" w:cs="Times New Roman"/>
          <w:sz w:val="28"/>
          <w:szCs w:val="28"/>
        </w:rPr>
        <w:lastRenderedPageBreak/>
        <w:t>следующего за очередным финансовым годом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5FD766D0" w14:textId="68DD450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8. </w:t>
      </w:r>
      <w:r w:rsidR="001E1345">
        <w:rPr>
          <w:rFonts w:ascii="Times New Roman" w:hAnsi="Times New Roman" w:cs="Times New Roman"/>
          <w:sz w:val="28"/>
          <w:szCs w:val="28"/>
        </w:rPr>
        <w:t>Утвержденный среднесрочный финансовый план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65903185" w14:textId="0012EE5B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9.</w:t>
      </w:r>
      <w:r w:rsidR="00FA5DF2">
        <w:rPr>
          <w:rFonts w:ascii="Times New Roman" w:hAnsi="Times New Roman" w:cs="Times New Roman"/>
          <w:sz w:val="28"/>
          <w:szCs w:val="28"/>
        </w:rPr>
        <w:t xml:space="preserve"> </w:t>
      </w:r>
      <w:r w:rsidR="001E1345">
        <w:rPr>
          <w:rFonts w:ascii="Times New Roman" w:hAnsi="Times New Roman" w:cs="Times New Roman"/>
          <w:sz w:val="28"/>
          <w:szCs w:val="28"/>
        </w:rPr>
        <w:t>Оценка ожидаемого исполнения бюджета сельсовета на текущий финансовый год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71D10D15" w14:textId="179FC9D6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10.  Реестра источников доходов</w:t>
      </w:r>
      <w:r w:rsidR="008D0B49">
        <w:rPr>
          <w:rFonts w:ascii="Times New Roman" w:hAnsi="Times New Roman" w:cs="Times New Roman"/>
          <w:sz w:val="28"/>
          <w:szCs w:val="28"/>
        </w:rPr>
        <w:t xml:space="preserve"> бюджета сельсовета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6A447847" w14:textId="1FA36B9A" w:rsidR="008A7283" w:rsidRPr="002D5ED4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D19">
        <w:rPr>
          <w:rFonts w:ascii="Times New Roman" w:hAnsi="Times New Roman" w:cs="Times New Roman"/>
          <w:b/>
          <w:sz w:val="28"/>
          <w:szCs w:val="28"/>
          <w:lang w:eastAsia="ru-RU"/>
        </w:rPr>
        <w:t>Гоноховский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C93D19">
        <w:rPr>
          <w:rFonts w:ascii="Times New Roman" w:hAnsi="Times New Roman" w:cs="Times New Roman"/>
          <w:b/>
          <w:sz w:val="28"/>
          <w:szCs w:val="28"/>
          <w:lang w:eastAsia="ru-RU"/>
        </w:rPr>
        <w:t>Гоноховского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5493F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923AE2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1DE9BA26" w14:textId="77777777" w:rsidR="00271E17" w:rsidRPr="00247F79" w:rsidRDefault="00271E17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A46F698" w14:textId="6A937D5C" w:rsidR="008A7283" w:rsidRPr="006E7ABB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</w:t>
      </w:r>
      <w:r w:rsidR="00776D85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7B7D1E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776D85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7B7D1E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431CAC3A" w14:textId="11734B88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BE6C28">
        <w:rPr>
          <w:rFonts w:ascii="Times New Roman" w:hAnsi="Times New Roman" w:cs="Times New Roman"/>
          <w:b/>
          <w:sz w:val="28"/>
          <w:szCs w:val="28"/>
        </w:rPr>
        <w:t>3320,7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BE6C28">
        <w:rPr>
          <w:rFonts w:ascii="Times New Roman" w:hAnsi="Times New Roman" w:cs="Times New Roman"/>
          <w:b/>
          <w:sz w:val="28"/>
          <w:szCs w:val="28"/>
        </w:rPr>
        <w:t>1457,7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292C12F4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BE6C28">
        <w:rPr>
          <w:rFonts w:ascii="Times New Roman" w:hAnsi="Times New Roman" w:cs="Times New Roman"/>
          <w:b/>
          <w:sz w:val="28"/>
          <w:szCs w:val="28"/>
        </w:rPr>
        <w:t xml:space="preserve">3507,0 </w:t>
      </w:r>
      <w:r w:rsidRPr="00247F79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1849372F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BE6C28">
        <w:rPr>
          <w:rFonts w:ascii="Times New Roman" w:hAnsi="Times New Roman" w:cs="Times New Roman"/>
          <w:b/>
          <w:sz w:val="28"/>
          <w:szCs w:val="28"/>
        </w:rPr>
        <w:t>186,3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7ABDD5E5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BE6C28">
        <w:rPr>
          <w:b/>
          <w:color w:val="auto"/>
          <w:sz w:val="28"/>
          <w:szCs w:val="28"/>
        </w:rPr>
        <w:t>3299,0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BE6C28">
        <w:rPr>
          <w:b/>
          <w:color w:val="auto"/>
          <w:sz w:val="28"/>
          <w:szCs w:val="28"/>
        </w:rPr>
        <w:t>1387,0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BE6C28">
        <w:rPr>
          <w:b/>
          <w:color w:val="auto"/>
          <w:sz w:val="28"/>
          <w:szCs w:val="28"/>
        </w:rPr>
        <w:t>3397,2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BE6C28">
        <w:rPr>
          <w:b/>
          <w:color w:val="auto"/>
          <w:sz w:val="28"/>
          <w:szCs w:val="28"/>
        </w:rPr>
        <w:t>1441,2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429AE60B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BE6C28">
        <w:rPr>
          <w:b/>
          <w:color w:val="auto"/>
          <w:sz w:val="28"/>
          <w:szCs w:val="28"/>
        </w:rPr>
        <w:t>3299,0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BE6C28">
        <w:rPr>
          <w:b/>
          <w:color w:val="auto"/>
          <w:sz w:val="28"/>
          <w:szCs w:val="28"/>
        </w:rPr>
        <w:t>3397,2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1D3B7DA3" w:rsidR="005B6EB8" w:rsidRPr="00E74C50" w:rsidRDefault="005B6EB8" w:rsidP="00405105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 xml:space="preserve">Данные об основных параметрах бюджета муниципального </w:t>
      </w:r>
      <w:r w:rsidR="00405105">
        <w:rPr>
          <w:b/>
          <w:color w:val="auto"/>
          <w:sz w:val="28"/>
          <w:szCs w:val="28"/>
        </w:rPr>
        <w:t>о</w:t>
      </w:r>
      <w:r w:rsidR="00DB677D">
        <w:rPr>
          <w:b/>
          <w:color w:val="auto"/>
          <w:sz w:val="28"/>
          <w:szCs w:val="28"/>
        </w:rPr>
        <w:t>б</w:t>
      </w:r>
      <w:r w:rsidRPr="00E74C50">
        <w:rPr>
          <w:b/>
          <w:color w:val="auto"/>
          <w:sz w:val="28"/>
          <w:szCs w:val="28"/>
        </w:rPr>
        <w:t>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="00C93D19">
        <w:rPr>
          <w:b/>
          <w:color w:val="auto"/>
          <w:sz w:val="28"/>
          <w:szCs w:val="28"/>
        </w:rPr>
        <w:t>Гоноховский</w:t>
      </w:r>
      <w:r w:rsidRPr="00E74C50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7D11AE29" w:rsidR="00D53261" w:rsidRDefault="007F317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3350,3</w:t>
            </w:r>
          </w:p>
        </w:tc>
        <w:tc>
          <w:tcPr>
            <w:tcW w:w="3191" w:type="dxa"/>
          </w:tcPr>
          <w:p w14:paraId="6F59ED65" w14:textId="6B0FBD3A" w:rsidR="00D53261" w:rsidRDefault="009B7D8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3320,7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5BC0957B" w:rsidR="00D53261" w:rsidRDefault="007F317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1086,0</w:t>
            </w:r>
          </w:p>
        </w:tc>
        <w:tc>
          <w:tcPr>
            <w:tcW w:w="3191" w:type="dxa"/>
          </w:tcPr>
          <w:p w14:paraId="0031C260" w14:textId="587F7F7E" w:rsidR="00D53261" w:rsidRDefault="009B7D8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1186,0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28BB2D" w14:textId="00B40534" w:rsidR="00D53261" w:rsidRDefault="007F317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632,0</w:t>
            </w:r>
          </w:p>
        </w:tc>
        <w:tc>
          <w:tcPr>
            <w:tcW w:w="3191" w:type="dxa"/>
          </w:tcPr>
          <w:p w14:paraId="6DA161A5" w14:textId="0AA10F52" w:rsidR="00D53261" w:rsidRDefault="009B7D8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677,0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2E016709" w:rsidR="00D53261" w:rsidRDefault="007F317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1632,3</w:t>
            </w:r>
          </w:p>
        </w:tc>
        <w:tc>
          <w:tcPr>
            <w:tcW w:w="3191" w:type="dxa"/>
          </w:tcPr>
          <w:p w14:paraId="1218EAEA" w14:textId="1B6E84CC" w:rsidR="00D53261" w:rsidRDefault="009B7D8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1457,7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0B17639D" w:rsidR="00D53261" w:rsidRDefault="007F317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3956,8</w:t>
            </w:r>
          </w:p>
        </w:tc>
        <w:tc>
          <w:tcPr>
            <w:tcW w:w="3191" w:type="dxa"/>
          </w:tcPr>
          <w:p w14:paraId="47A8510E" w14:textId="07667239" w:rsidR="00D53261" w:rsidRDefault="009B7D8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3507,0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2C0A8AD7" w:rsidR="00D53261" w:rsidRDefault="00C7612D" w:rsidP="007F31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7F317B">
              <w:rPr>
                <w:color w:val="auto"/>
                <w:sz w:val="28"/>
                <w:szCs w:val="28"/>
              </w:rPr>
              <w:t>606,5</w:t>
            </w:r>
          </w:p>
        </w:tc>
        <w:tc>
          <w:tcPr>
            <w:tcW w:w="3191" w:type="dxa"/>
          </w:tcPr>
          <w:p w14:paraId="37CFB6C6" w14:textId="18932502" w:rsidR="00D53261" w:rsidRDefault="00E11FB8" w:rsidP="009B7D8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9B7D84">
              <w:rPr>
                <w:color w:val="auto"/>
                <w:sz w:val="28"/>
                <w:szCs w:val="28"/>
              </w:rPr>
              <w:t>186,3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3AA98579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1813AD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1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B7D84">
        <w:rPr>
          <w:rFonts w:ascii="Times New Roman" w:hAnsi="Times New Roman" w:cs="Times New Roman"/>
          <w:sz w:val="28"/>
          <w:szCs w:val="28"/>
        </w:rPr>
        <w:t>29,6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9B7D84">
        <w:rPr>
          <w:rFonts w:ascii="Times New Roman" w:hAnsi="Times New Roman" w:cs="Times New Roman"/>
          <w:sz w:val="28"/>
          <w:szCs w:val="28"/>
        </w:rPr>
        <w:t>0,9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9B7D84">
        <w:rPr>
          <w:rFonts w:ascii="Times New Roman" w:hAnsi="Times New Roman" w:cs="Times New Roman"/>
          <w:sz w:val="28"/>
          <w:szCs w:val="28"/>
        </w:rPr>
        <w:t>3320,7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59A58DF9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наблюдается </w:t>
      </w:r>
      <w:r w:rsidR="009B7D84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9B7D84">
        <w:rPr>
          <w:rFonts w:ascii="Times New Roman" w:hAnsi="Times New Roman" w:cs="Times New Roman"/>
          <w:sz w:val="28"/>
          <w:szCs w:val="28"/>
        </w:rPr>
        <w:t>145,0</w:t>
      </w:r>
      <w:r>
        <w:rPr>
          <w:rFonts w:ascii="Times New Roman" w:hAnsi="Times New Roman" w:cs="Times New Roman"/>
          <w:sz w:val="28"/>
          <w:szCs w:val="28"/>
        </w:rPr>
        <w:t xml:space="preserve"> тыс. рубле или </w:t>
      </w:r>
      <w:r w:rsidR="009B7D84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9B7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D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B7D84">
        <w:rPr>
          <w:rFonts w:ascii="Times New Roman" w:hAnsi="Times New Roman" w:cs="Times New Roman"/>
          <w:sz w:val="28"/>
          <w:szCs w:val="28"/>
        </w:rPr>
        <w:t xml:space="preserve"> ожидаемой оценки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478C98" w14:textId="30829D8F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наблюдается </w:t>
      </w:r>
      <w:r w:rsidR="005F0C0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260AA">
        <w:rPr>
          <w:rFonts w:ascii="Times New Roman" w:hAnsi="Times New Roman" w:cs="Times New Roman"/>
          <w:sz w:val="28"/>
          <w:szCs w:val="28"/>
        </w:rPr>
        <w:t>174,6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260AA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0B2DE3EA" w14:textId="27222CE2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F260AA">
        <w:rPr>
          <w:rFonts w:ascii="Times New Roman" w:hAnsi="Times New Roman" w:cs="Times New Roman"/>
          <w:sz w:val="28"/>
          <w:szCs w:val="28"/>
        </w:rPr>
        <w:t>3507,0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CC6EE8">
        <w:rPr>
          <w:rFonts w:ascii="Times New Roman" w:hAnsi="Times New Roman" w:cs="Times New Roman"/>
          <w:sz w:val="28"/>
          <w:szCs w:val="28"/>
        </w:rPr>
        <w:t>уменьшение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260AA">
        <w:rPr>
          <w:rFonts w:ascii="Times New Roman" w:hAnsi="Times New Roman" w:cs="Times New Roman"/>
          <w:sz w:val="28"/>
          <w:szCs w:val="28"/>
        </w:rPr>
        <w:t>11,4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31D4FF89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F260AA">
        <w:rPr>
          <w:rFonts w:ascii="Times New Roman" w:hAnsi="Times New Roman" w:cs="Times New Roman"/>
          <w:sz w:val="28"/>
          <w:szCs w:val="28"/>
        </w:rPr>
        <w:t>186,3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3BDA3E19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0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1CBB38F7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C52C243" w14:textId="54DC5823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67305A">
        <w:rPr>
          <w:rFonts w:ascii="Times New Roman" w:hAnsi="Times New Roman" w:cs="Times New Roman"/>
          <w:sz w:val="28"/>
          <w:szCs w:val="28"/>
        </w:rPr>
        <w:t xml:space="preserve">  </w:t>
      </w:r>
      <w:r w:rsidRPr="001349A9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67305A">
        <w:rPr>
          <w:rFonts w:ascii="Times New Roman" w:hAnsi="Times New Roman" w:cs="Times New Roman"/>
          <w:sz w:val="28"/>
          <w:szCs w:val="28"/>
        </w:rPr>
        <w:t xml:space="preserve"> и</w:t>
      </w:r>
      <w:r w:rsidRPr="001349A9">
        <w:rPr>
          <w:rFonts w:ascii="Times New Roman" w:hAnsi="Times New Roman" w:cs="Times New Roman"/>
          <w:sz w:val="28"/>
          <w:szCs w:val="28"/>
        </w:rPr>
        <w:t xml:space="preserve"> составляют  -</w:t>
      </w:r>
      <w:r w:rsidR="0085365D">
        <w:rPr>
          <w:rFonts w:ascii="Times New Roman" w:hAnsi="Times New Roman" w:cs="Times New Roman"/>
          <w:sz w:val="28"/>
          <w:szCs w:val="28"/>
        </w:rPr>
        <w:t>56,1</w:t>
      </w:r>
      <w:r w:rsidRPr="001349A9">
        <w:rPr>
          <w:rFonts w:ascii="Times New Roman" w:hAnsi="Times New Roman" w:cs="Times New Roman"/>
          <w:sz w:val="28"/>
          <w:szCs w:val="28"/>
        </w:rPr>
        <w:t>%</w:t>
      </w:r>
      <w:r w:rsidR="0085365D">
        <w:rPr>
          <w:rFonts w:ascii="Times New Roman" w:hAnsi="Times New Roman" w:cs="Times New Roman"/>
          <w:sz w:val="28"/>
          <w:szCs w:val="28"/>
        </w:rPr>
        <w:t xml:space="preserve"> от всех доходов</w:t>
      </w:r>
      <w:r w:rsidRPr="001349A9">
        <w:rPr>
          <w:rFonts w:ascii="Times New Roman" w:hAnsi="Times New Roman" w:cs="Times New Roman"/>
          <w:sz w:val="28"/>
          <w:szCs w:val="28"/>
        </w:rPr>
        <w:t xml:space="preserve">, из </w:t>
      </w:r>
      <w:r w:rsidRPr="001349A9">
        <w:rPr>
          <w:rFonts w:ascii="Times New Roman" w:hAnsi="Times New Roman" w:cs="Times New Roman"/>
          <w:sz w:val="28"/>
          <w:szCs w:val="28"/>
        </w:rPr>
        <w:lastRenderedPageBreak/>
        <w:t xml:space="preserve">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85365D">
        <w:rPr>
          <w:rFonts w:ascii="Times New Roman" w:hAnsi="Times New Roman" w:cs="Times New Roman"/>
          <w:sz w:val="28"/>
          <w:szCs w:val="28"/>
        </w:rPr>
        <w:t>35,7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85365D">
        <w:rPr>
          <w:rFonts w:ascii="Times New Roman" w:hAnsi="Times New Roman" w:cs="Times New Roman"/>
          <w:sz w:val="28"/>
          <w:szCs w:val="28"/>
        </w:rPr>
        <w:t>20,4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85365D">
        <w:rPr>
          <w:rFonts w:ascii="Times New Roman" w:hAnsi="Times New Roman" w:cs="Times New Roman"/>
          <w:sz w:val="28"/>
          <w:szCs w:val="28"/>
        </w:rPr>
        <w:t>43,9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6BE80" wp14:editId="0FF5F5D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702E7940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85365D">
        <w:rPr>
          <w:rFonts w:ascii="Times New Roman" w:hAnsi="Times New Roman" w:cs="Times New Roman"/>
          <w:sz w:val="28"/>
          <w:szCs w:val="28"/>
        </w:rPr>
        <w:t xml:space="preserve">1186,0 </w:t>
      </w:r>
      <w:r w:rsidR="00AD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85365D">
        <w:rPr>
          <w:rFonts w:ascii="Times New Roman" w:hAnsi="Times New Roman" w:cs="Times New Roman"/>
          <w:sz w:val="28"/>
          <w:szCs w:val="28"/>
        </w:rPr>
        <w:t>677,0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8D6ECA" w14:textId="3F5483E9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</w:t>
      </w:r>
      <w:r w:rsidR="008F0957">
        <w:rPr>
          <w:rFonts w:ascii="Times New Roman" w:hAnsi="Times New Roman" w:cs="Times New Roman"/>
          <w:sz w:val="28"/>
          <w:szCs w:val="28"/>
        </w:rPr>
        <w:t>налоговых</w:t>
      </w:r>
      <w:r w:rsidRPr="003C49C1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</w:t>
      </w:r>
      <w:r w:rsidR="008F0957" w:rsidRPr="008F0957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8F0957">
        <w:rPr>
          <w:rFonts w:ascii="Times New Roman" w:hAnsi="Times New Roman" w:cs="Times New Roman"/>
          <w:sz w:val="28"/>
          <w:szCs w:val="28"/>
        </w:rPr>
        <w:t xml:space="preserve"> </w:t>
      </w:r>
      <w:r w:rsidR="0085365D">
        <w:rPr>
          <w:rFonts w:ascii="Times New Roman" w:hAnsi="Times New Roman" w:cs="Times New Roman"/>
          <w:sz w:val="28"/>
          <w:szCs w:val="28"/>
        </w:rPr>
        <w:t>14,5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85365D">
        <w:rPr>
          <w:rFonts w:ascii="Times New Roman" w:hAnsi="Times New Roman" w:cs="Times New Roman"/>
          <w:sz w:val="28"/>
          <w:szCs w:val="28"/>
        </w:rPr>
        <w:t>80,4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41C0793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658120EE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</w:t>
      </w:r>
      <w:r w:rsidR="008A7283"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на </w:t>
      </w:r>
      <w:r w:rsidR="0085365D">
        <w:rPr>
          <w:rFonts w:ascii="Times New Roman" w:hAnsi="Times New Roman" w:cs="Times New Roman"/>
          <w:sz w:val="28"/>
          <w:szCs w:val="28"/>
        </w:rPr>
        <w:t>308,2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85365D">
        <w:rPr>
          <w:rFonts w:ascii="Times New Roman" w:hAnsi="Times New Roman" w:cs="Times New Roman"/>
          <w:sz w:val="28"/>
          <w:szCs w:val="28"/>
        </w:rPr>
        <w:t>26,8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85365D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5365D">
        <w:rPr>
          <w:rFonts w:ascii="Times New Roman" w:hAnsi="Times New Roman" w:cs="Times New Roman"/>
          <w:sz w:val="28"/>
          <w:szCs w:val="28"/>
        </w:rPr>
        <w:t>174,6</w:t>
      </w:r>
      <w:r w:rsidR="00B71911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тыс. рублей (</w:t>
      </w:r>
      <w:r w:rsidR="00B71911">
        <w:rPr>
          <w:rFonts w:ascii="Times New Roman" w:hAnsi="Times New Roman" w:cs="Times New Roman"/>
          <w:sz w:val="28"/>
          <w:szCs w:val="28"/>
        </w:rPr>
        <w:t>10</w:t>
      </w:r>
      <w:r w:rsidR="009E090C">
        <w:rPr>
          <w:rFonts w:ascii="Times New Roman" w:hAnsi="Times New Roman" w:cs="Times New Roman"/>
          <w:sz w:val="28"/>
          <w:szCs w:val="28"/>
        </w:rPr>
        <w:t>,7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4A9FFC4" w14:textId="31884278" w:rsidR="00F60FAF" w:rsidRPr="00F60FAF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 w:rsidR="00E640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аналогичными показателями, утвержденными решением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E640FB" w:rsidRPr="00E640FB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  <w:r w:rsidR="00E640FB">
        <w:rPr>
          <w:rFonts w:ascii="Times New Roman" w:hAnsi="Times New Roman" w:cs="Times New Roman"/>
          <w:sz w:val="28"/>
          <w:szCs w:val="28"/>
        </w:rPr>
        <w:t xml:space="preserve"> </w:t>
      </w:r>
      <w:r w:rsidR="00E640FB" w:rsidRPr="00E640FB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E6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065F2">
        <w:rPr>
          <w:rFonts w:ascii="Times New Roman" w:hAnsi="Times New Roman" w:cs="Times New Roman"/>
          <w:sz w:val="28"/>
          <w:szCs w:val="28"/>
        </w:rPr>
        <w:t>34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</w:p>
    <w:p w14:paraId="28C5D17B" w14:textId="6840A7AF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16CF">
        <w:rPr>
          <w:rFonts w:ascii="Times New Roman" w:hAnsi="Times New Roman" w:cs="Times New Roman"/>
          <w:sz w:val="28"/>
          <w:szCs w:val="28"/>
        </w:rPr>
        <w:t>а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60FAF">
        <w:rPr>
          <w:rFonts w:ascii="Times New Roman" w:hAnsi="Times New Roman" w:cs="Times New Roman"/>
          <w:sz w:val="28"/>
          <w:szCs w:val="28"/>
        </w:rPr>
        <w:t xml:space="preserve">(на момент проведения экспертизы) предлагается  бюджет </w:t>
      </w:r>
      <w:r w:rsidR="00D716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716CF">
        <w:rPr>
          <w:rFonts w:ascii="Times New Roman" w:hAnsi="Times New Roman" w:cs="Times New Roman"/>
          <w:b/>
          <w:sz w:val="28"/>
          <w:szCs w:val="28"/>
        </w:rPr>
        <w:t>–</w:t>
      </w:r>
      <w:r w:rsidRPr="00F6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61">
        <w:rPr>
          <w:rFonts w:ascii="Times New Roman" w:hAnsi="Times New Roman" w:cs="Times New Roman"/>
          <w:b/>
          <w:sz w:val="28"/>
          <w:szCs w:val="28"/>
        </w:rPr>
        <w:t>186,3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72F213F2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607761">
        <w:rPr>
          <w:rFonts w:ascii="Times New Roman" w:hAnsi="Times New Roman" w:cs="Times New Roman"/>
          <w:sz w:val="28"/>
          <w:szCs w:val="28"/>
        </w:rPr>
        <w:t>3320,7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607761">
        <w:rPr>
          <w:rFonts w:ascii="Times New Roman" w:hAnsi="Times New Roman" w:cs="Times New Roman"/>
          <w:sz w:val="28"/>
          <w:szCs w:val="28"/>
        </w:rPr>
        <w:t>29,6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F1DD7">
        <w:rPr>
          <w:rFonts w:ascii="Times New Roman" w:hAnsi="Times New Roman" w:cs="Times New Roman"/>
          <w:sz w:val="28"/>
          <w:szCs w:val="28"/>
        </w:rPr>
        <w:t>меньше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ожидаемого исполнения 202</w:t>
      </w:r>
      <w:r w:rsidR="00767CA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711CA2B9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4902A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F60FAF">
        <w:rPr>
          <w:rFonts w:ascii="Times New Roman" w:hAnsi="Times New Roman" w:cs="Times New Roman"/>
          <w:sz w:val="28"/>
          <w:szCs w:val="28"/>
        </w:rPr>
        <w:t>собственных доходов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запланировано на </w:t>
      </w:r>
      <w:r w:rsidR="00607761">
        <w:rPr>
          <w:rFonts w:ascii="Times New Roman" w:hAnsi="Times New Roman" w:cs="Times New Roman"/>
          <w:sz w:val="28"/>
          <w:szCs w:val="28"/>
        </w:rPr>
        <w:t>129,0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607761">
        <w:rPr>
          <w:rFonts w:ascii="Times New Roman" w:hAnsi="Times New Roman" w:cs="Times New Roman"/>
          <w:sz w:val="28"/>
          <w:szCs w:val="28"/>
        </w:rPr>
        <w:t>7,4</w:t>
      </w:r>
      <w:r w:rsidRPr="00F60FAF">
        <w:rPr>
          <w:rFonts w:ascii="Times New Roman" w:hAnsi="Times New Roman" w:cs="Times New Roman"/>
          <w:sz w:val="28"/>
          <w:szCs w:val="28"/>
        </w:rPr>
        <w:t>%) к уровню плановых значений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25D39CE8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607761">
        <w:rPr>
          <w:rFonts w:ascii="Times New Roman" w:hAnsi="Times New Roman" w:cs="Times New Roman"/>
          <w:sz w:val="28"/>
          <w:szCs w:val="28"/>
        </w:rPr>
        <w:t>1457,7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607761">
        <w:rPr>
          <w:rFonts w:ascii="Times New Roman" w:hAnsi="Times New Roman" w:cs="Times New Roman"/>
          <w:sz w:val="28"/>
          <w:szCs w:val="28"/>
        </w:rPr>
        <w:t>174,6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607761">
        <w:rPr>
          <w:rFonts w:ascii="Times New Roman" w:hAnsi="Times New Roman" w:cs="Times New Roman"/>
          <w:sz w:val="28"/>
          <w:szCs w:val="28"/>
        </w:rPr>
        <w:t>10,7</w:t>
      </w:r>
      <w:r w:rsidRPr="00F60FAF">
        <w:rPr>
          <w:rFonts w:ascii="Times New Roman" w:hAnsi="Times New Roman" w:cs="Times New Roman"/>
          <w:sz w:val="28"/>
          <w:szCs w:val="28"/>
        </w:rPr>
        <w:t xml:space="preserve">%)  </w:t>
      </w:r>
      <w:r w:rsidR="006B4948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F60FAF">
        <w:rPr>
          <w:rFonts w:ascii="Times New Roman" w:hAnsi="Times New Roman" w:cs="Times New Roman"/>
          <w:sz w:val="28"/>
          <w:szCs w:val="28"/>
        </w:rPr>
        <w:t>ожидаемого исполнения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79C77806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456244">
        <w:rPr>
          <w:rFonts w:ascii="Times New Roman" w:hAnsi="Times New Roman" w:cs="Times New Roman"/>
          <w:sz w:val="28"/>
          <w:szCs w:val="28"/>
        </w:rPr>
        <w:t>677,0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456244">
        <w:rPr>
          <w:rFonts w:ascii="Times New Roman" w:hAnsi="Times New Roman" w:cs="Times New Roman"/>
          <w:sz w:val="28"/>
          <w:szCs w:val="28"/>
        </w:rPr>
        <w:t>691,0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456244">
        <w:rPr>
          <w:rFonts w:ascii="Times New Roman" w:hAnsi="Times New Roman" w:cs="Times New Roman"/>
          <w:sz w:val="28"/>
          <w:szCs w:val="28"/>
        </w:rPr>
        <w:t>705,0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374D516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94088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="00DD48DD" w:rsidRPr="00794088">
        <w:rPr>
          <w:rFonts w:ascii="Times New Roman" w:hAnsi="Times New Roman" w:cs="Times New Roman"/>
          <w:sz w:val="28"/>
          <w:szCs w:val="28"/>
        </w:rPr>
        <w:t>Д</w:t>
      </w:r>
      <w:r w:rsidR="00DE34AA" w:rsidRPr="00794088">
        <w:rPr>
          <w:rFonts w:ascii="Times New Roman" w:hAnsi="Times New Roman" w:cs="Times New Roman"/>
          <w:sz w:val="28"/>
          <w:szCs w:val="28"/>
        </w:rPr>
        <w:t>иаграмм</w:t>
      </w:r>
      <w:r w:rsidR="00794088">
        <w:rPr>
          <w:rFonts w:ascii="Times New Roman" w:hAnsi="Times New Roman" w:cs="Times New Roman"/>
          <w:sz w:val="28"/>
          <w:szCs w:val="28"/>
        </w:rPr>
        <w:t xml:space="preserve">е </w:t>
      </w:r>
      <w:r w:rsidRPr="00794088">
        <w:rPr>
          <w:rFonts w:ascii="Times New Roman" w:hAnsi="Times New Roman" w:cs="Times New Roman"/>
          <w:sz w:val="28"/>
          <w:szCs w:val="28"/>
        </w:rPr>
        <w:t>№</w:t>
      </w:r>
      <w:r w:rsidR="00DE34AA" w:rsidRPr="00794088">
        <w:rPr>
          <w:rFonts w:ascii="Times New Roman" w:hAnsi="Times New Roman" w:cs="Times New Roman"/>
          <w:sz w:val="28"/>
          <w:szCs w:val="28"/>
        </w:rPr>
        <w:t>3</w:t>
      </w:r>
      <w:r w:rsidRPr="00794088">
        <w:rPr>
          <w:rFonts w:ascii="Times New Roman" w:hAnsi="Times New Roman" w:cs="Times New Roman"/>
          <w:sz w:val="28"/>
          <w:szCs w:val="28"/>
        </w:rPr>
        <w:t>.</w:t>
      </w:r>
      <w:r w:rsidR="00794088" w:rsidRPr="00794088">
        <w:rPr>
          <w:noProof/>
          <w:sz w:val="28"/>
          <w:szCs w:val="28"/>
          <w:lang w:eastAsia="ru-RU"/>
        </w:rPr>
        <w:t xml:space="preserve"> </w:t>
      </w:r>
      <w:r w:rsidR="00794088">
        <w:rPr>
          <w:noProof/>
          <w:sz w:val="28"/>
          <w:szCs w:val="28"/>
          <w:lang w:eastAsia="ru-RU"/>
        </w:rPr>
        <w:drawing>
          <wp:inline distT="0" distB="0" distL="0" distR="0" wp14:anchorId="76714717" wp14:editId="7278B48A">
            <wp:extent cx="5486400" cy="2969111"/>
            <wp:effectExtent l="0" t="0" r="19050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06DB376" w14:textId="54ED313B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</w:p>
    <w:bookmarkEnd w:id="1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3E64B35" w14:textId="77777777" w:rsidR="00C23090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456244">
        <w:rPr>
          <w:rFonts w:ascii="Times New Roman" w:hAnsi="Times New Roman" w:cs="Times New Roman"/>
          <w:sz w:val="28"/>
          <w:szCs w:val="28"/>
        </w:rPr>
        <w:t>395,0</w:t>
      </w:r>
    </w:p>
    <w:p w14:paraId="4FCCDDFC" w14:textId="24DFEC6C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41509"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 остается на прежнем уровне.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8E931" w14:textId="4B87E490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41509">
        <w:rPr>
          <w:rFonts w:ascii="Times New Roman" w:hAnsi="Times New Roman" w:cs="Times New Roman"/>
          <w:sz w:val="28"/>
          <w:szCs w:val="28"/>
        </w:rPr>
        <w:t>1,6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141509">
        <w:rPr>
          <w:rFonts w:ascii="Times New Roman" w:hAnsi="Times New Roman" w:cs="Times New Roman"/>
          <w:sz w:val="28"/>
          <w:szCs w:val="28"/>
        </w:rPr>
        <w:t>1,8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141509">
        <w:rPr>
          <w:rFonts w:ascii="Times New Roman" w:hAnsi="Times New Roman" w:cs="Times New Roman"/>
          <w:sz w:val="28"/>
          <w:szCs w:val="28"/>
        </w:rPr>
        <w:t>1,8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7154CB27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C23090">
        <w:rPr>
          <w:rFonts w:ascii="Times New Roman" w:hAnsi="Times New Roman" w:cs="Times New Roman"/>
          <w:sz w:val="28"/>
          <w:szCs w:val="28"/>
          <w:lang w:eastAsia="ru-RU"/>
        </w:rPr>
        <w:t>1457,7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от 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309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 xml:space="preserve">.12.2023    №  </w:t>
      </w:r>
      <w:r w:rsidR="00C23090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C23090">
        <w:rPr>
          <w:rFonts w:ascii="Times New Roman" w:hAnsi="Times New Roman" w:cs="Times New Roman"/>
          <w:sz w:val="28"/>
          <w:szCs w:val="28"/>
          <w:lang w:eastAsia="ru-RU"/>
        </w:rPr>
        <w:t>308,2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1DA892E7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36436D">
        <w:rPr>
          <w:rFonts w:ascii="Times New Roman" w:hAnsi="Times New Roman" w:cs="Times New Roman"/>
          <w:sz w:val="28"/>
          <w:szCs w:val="28"/>
        </w:rPr>
        <w:t>62,5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D63896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71915">
        <w:rPr>
          <w:rFonts w:ascii="Times New Roman" w:hAnsi="Times New Roman" w:cs="Times New Roman"/>
          <w:sz w:val="28"/>
          <w:szCs w:val="28"/>
        </w:rPr>
        <w:t xml:space="preserve">ожидаемой оценки 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6436D">
        <w:rPr>
          <w:rFonts w:ascii="Times New Roman" w:hAnsi="Times New Roman" w:cs="Times New Roman"/>
          <w:sz w:val="28"/>
          <w:szCs w:val="28"/>
        </w:rPr>
        <w:t>141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6436D">
        <w:rPr>
          <w:rFonts w:ascii="Times New Roman" w:hAnsi="Times New Roman" w:cs="Times New Roman"/>
          <w:sz w:val="28"/>
          <w:szCs w:val="28"/>
        </w:rPr>
        <w:t>18,3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030D11A0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2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36436D">
        <w:rPr>
          <w:rFonts w:ascii="Times New Roman" w:hAnsi="Times New Roman" w:cs="Times New Roman"/>
          <w:sz w:val="28"/>
          <w:szCs w:val="28"/>
        </w:rPr>
        <w:t>5,2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36436D">
        <w:rPr>
          <w:rFonts w:ascii="Times New Roman" w:hAnsi="Times New Roman" w:cs="Times New Roman"/>
          <w:sz w:val="28"/>
          <w:szCs w:val="28"/>
        </w:rPr>
        <w:t>выше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6436D">
        <w:rPr>
          <w:rFonts w:ascii="Times New Roman" w:hAnsi="Times New Roman" w:cs="Times New Roman"/>
          <w:sz w:val="28"/>
          <w:szCs w:val="28"/>
        </w:rPr>
        <w:t>3,4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36436D">
        <w:rPr>
          <w:rFonts w:ascii="Times New Roman" w:hAnsi="Times New Roman" w:cs="Times New Roman"/>
          <w:sz w:val="28"/>
          <w:szCs w:val="28"/>
        </w:rPr>
        <w:t>4,7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2ADB9BDC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36436D">
        <w:rPr>
          <w:rFonts w:ascii="Times New Roman" w:hAnsi="Times New Roman" w:cs="Times New Roman"/>
          <w:sz w:val="28"/>
          <w:szCs w:val="28"/>
          <w:lang w:eastAsia="ru-RU"/>
        </w:rPr>
        <w:t>21,3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36436D">
        <w:rPr>
          <w:rFonts w:ascii="Times New Roman" w:hAnsi="Times New Roman" w:cs="Times New Roman"/>
          <w:sz w:val="28"/>
          <w:szCs w:val="28"/>
          <w:lang w:eastAsia="ru-RU"/>
        </w:rPr>
        <w:t>27,9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6436D">
        <w:rPr>
          <w:rFonts w:ascii="Times New Roman" w:hAnsi="Times New Roman" w:cs="Times New Roman"/>
          <w:sz w:val="28"/>
          <w:szCs w:val="28"/>
          <w:lang w:eastAsia="ru-RU"/>
        </w:rPr>
        <w:t>0,8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(или на </w:t>
      </w:r>
      <w:r w:rsidR="0036436D">
        <w:rPr>
          <w:rFonts w:ascii="Times New Roman" w:hAnsi="Times New Roman" w:cs="Times New Roman"/>
          <w:sz w:val="28"/>
          <w:szCs w:val="28"/>
          <w:lang w:eastAsia="ru-RU"/>
        </w:rPr>
        <w:t>1,5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5E5B3E42" w14:textId="2103815E" w:rsidR="008A7283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36436D">
        <w:rPr>
          <w:rFonts w:ascii="Times New Roman" w:hAnsi="Times New Roman" w:cs="Times New Roman"/>
          <w:sz w:val="28"/>
          <w:szCs w:val="28"/>
        </w:rPr>
        <w:t>36,3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36436D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36436D">
        <w:rPr>
          <w:rFonts w:ascii="Times New Roman" w:hAnsi="Times New Roman" w:cs="Times New Roman"/>
          <w:sz w:val="28"/>
          <w:szCs w:val="28"/>
        </w:rPr>
        <w:t>194,8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36436D">
        <w:rPr>
          <w:rFonts w:ascii="Times New Roman" w:hAnsi="Times New Roman" w:cs="Times New Roman"/>
          <w:sz w:val="28"/>
          <w:szCs w:val="28"/>
        </w:rPr>
        <w:t>13,9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8A2790" w14:textId="77777777" w:rsidR="00681725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CB519" w14:textId="77777777" w:rsidR="00681725" w:rsidRPr="00247F79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99D66" w14:textId="52505CE7" w:rsidR="008A7283" w:rsidRDefault="008A7283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25">
        <w:rPr>
          <w:rFonts w:ascii="Times New Roman" w:hAnsi="Times New Roman" w:cs="Times New Roman"/>
          <w:b/>
          <w:sz w:val="28"/>
          <w:szCs w:val="28"/>
        </w:rPr>
        <w:t xml:space="preserve">Структура доходов 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5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>(см. Диаграмма №4).</w:t>
      </w:r>
    </w:p>
    <w:p w14:paraId="1E1C2E6C" w14:textId="77777777" w:rsidR="00681725" w:rsidRPr="00681725" w:rsidRDefault="00681725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576B5" w14:textId="2F65A6E9" w:rsidR="001E04AB" w:rsidRPr="00681725" w:rsidRDefault="001E04AB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25"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681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700615" wp14:editId="34C423EA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7FA9AA" w14:textId="77777777" w:rsidR="00EE3CE4" w:rsidRDefault="00EE3CE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E6DB3" w14:textId="7CFEFF95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931DA">
        <w:rPr>
          <w:rFonts w:ascii="Times New Roman" w:hAnsi="Times New Roman" w:cs="Times New Roman"/>
          <w:sz w:val="28"/>
          <w:szCs w:val="28"/>
        </w:rPr>
        <w:t>43,9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C931DA">
        <w:rPr>
          <w:rFonts w:ascii="Times New Roman" w:hAnsi="Times New Roman" w:cs="Times New Roman"/>
          <w:sz w:val="28"/>
          <w:szCs w:val="28"/>
          <w:lang w:eastAsia="ru-RU"/>
        </w:rPr>
        <w:t>42,0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C931DA">
        <w:rPr>
          <w:rFonts w:ascii="Times New Roman" w:hAnsi="Times New Roman" w:cs="Times New Roman"/>
          <w:sz w:val="28"/>
          <w:szCs w:val="28"/>
          <w:lang w:eastAsia="ru-RU"/>
        </w:rPr>
        <w:t>42,4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Pr="00A65588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 w:rsidRPr="00A6558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765DAF0F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27E31">
        <w:rPr>
          <w:rFonts w:ascii="Times New Roman" w:hAnsi="Times New Roman" w:cs="Times New Roman"/>
          <w:b/>
          <w:sz w:val="28"/>
          <w:szCs w:val="28"/>
        </w:rPr>
        <w:t>3507,0</w:t>
      </w:r>
      <w:r w:rsidR="00FD003E">
        <w:rPr>
          <w:rFonts w:ascii="Times New Roman" w:hAnsi="Times New Roman" w:cs="Times New Roman"/>
          <w:sz w:val="28"/>
          <w:szCs w:val="28"/>
        </w:rPr>
        <w:t xml:space="preserve">  </w:t>
      </w:r>
      <w:r w:rsidRPr="00247F79">
        <w:rPr>
          <w:rFonts w:ascii="Times New Roman" w:hAnsi="Times New Roman" w:cs="Times New Roman"/>
          <w:sz w:val="28"/>
          <w:szCs w:val="28"/>
        </w:rPr>
        <w:t>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727E31">
        <w:rPr>
          <w:rFonts w:ascii="Times New Roman" w:hAnsi="Times New Roman" w:cs="Times New Roman"/>
          <w:sz w:val="28"/>
          <w:szCs w:val="28"/>
        </w:rPr>
        <w:t>450,1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727E31">
        <w:rPr>
          <w:rFonts w:ascii="Times New Roman" w:hAnsi="Times New Roman" w:cs="Times New Roman"/>
          <w:sz w:val="28"/>
          <w:szCs w:val="28"/>
        </w:rPr>
        <w:t>14,7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 xml:space="preserve">25.12.2023    №  </w:t>
      </w:r>
      <w:r w:rsidR="00727E31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634495D0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727E31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727E31">
        <w:rPr>
          <w:rFonts w:ascii="Times New Roman" w:hAnsi="Times New Roman" w:cs="Times New Roman"/>
          <w:sz w:val="28"/>
          <w:szCs w:val="28"/>
          <w:lang w:eastAsia="ru-RU"/>
        </w:rPr>
        <w:t>449,8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727E31">
        <w:rPr>
          <w:rFonts w:ascii="Times New Roman" w:hAnsi="Times New Roman" w:cs="Times New Roman"/>
          <w:sz w:val="28"/>
          <w:szCs w:val="28"/>
          <w:lang w:eastAsia="ru-RU"/>
        </w:rPr>
        <w:t>11,4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1785D7B7" w14:textId="77777777" w:rsidR="002E6B9C" w:rsidRDefault="002E6B9C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7A45DFEB" w14:textId="51CC83F8" w:rsidR="00D16EE9" w:rsidRDefault="00B834A9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1448D" w14:textId="77777777" w:rsidR="002E6B9C" w:rsidRDefault="002E6B9C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9F8A20" w14:textId="77777777" w:rsidR="002E6B9C" w:rsidRPr="00D16EE9" w:rsidRDefault="002E6B9C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4E0572A6" w:rsidR="002968F9" w:rsidRDefault="00D87597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3956,8</w:t>
            </w:r>
          </w:p>
        </w:tc>
        <w:tc>
          <w:tcPr>
            <w:tcW w:w="1276" w:type="dxa"/>
            <w:vAlign w:val="center"/>
          </w:tcPr>
          <w:p w14:paraId="77B72370" w14:textId="7174BD8C" w:rsidR="002968F9" w:rsidRDefault="00727E3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3057,0</w:t>
            </w:r>
          </w:p>
        </w:tc>
        <w:tc>
          <w:tcPr>
            <w:tcW w:w="1242" w:type="dxa"/>
            <w:vAlign w:val="center"/>
          </w:tcPr>
          <w:p w14:paraId="47D7727A" w14:textId="420C37DA" w:rsidR="002968F9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2F3D6920" w:rsidR="0090186C" w:rsidRPr="00526271" w:rsidRDefault="00727E3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2757,1</w:t>
            </w:r>
          </w:p>
        </w:tc>
        <w:tc>
          <w:tcPr>
            <w:tcW w:w="1276" w:type="dxa"/>
            <w:vAlign w:val="center"/>
          </w:tcPr>
          <w:p w14:paraId="7DC96DF7" w14:textId="6F2E6490" w:rsidR="0090186C" w:rsidRPr="00526271" w:rsidRDefault="00727E3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2683,1</w:t>
            </w:r>
          </w:p>
        </w:tc>
        <w:tc>
          <w:tcPr>
            <w:tcW w:w="1242" w:type="dxa"/>
            <w:vAlign w:val="center"/>
          </w:tcPr>
          <w:p w14:paraId="338C9E95" w14:textId="69C76F19" w:rsidR="0090186C" w:rsidRPr="00526271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51BF800D" w:rsidR="002968F9" w:rsidRPr="002968F9" w:rsidRDefault="00727E3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276" w:type="dxa"/>
            <w:vAlign w:val="center"/>
          </w:tcPr>
          <w:p w14:paraId="6929CDFA" w14:textId="3E733283" w:rsidR="002968F9" w:rsidRPr="002968F9" w:rsidRDefault="00727E3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176,8</w:t>
            </w:r>
          </w:p>
        </w:tc>
        <w:tc>
          <w:tcPr>
            <w:tcW w:w="1242" w:type="dxa"/>
            <w:vAlign w:val="center"/>
          </w:tcPr>
          <w:p w14:paraId="03CFE53D" w14:textId="22FE082C" w:rsidR="002968F9" w:rsidRPr="002968F9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33E513A1" w:rsidR="0090186C" w:rsidRPr="00526271" w:rsidRDefault="00727E3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vAlign w:val="center"/>
          </w:tcPr>
          <w:p w14:paraId="3A70B9A8" w14:textId="2B4E95B6" w:rsidR="0090186C" w:rsidRPr="00526271" w:rsidRDefault="00727E31" w:rsidP="00852FF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42" w:type="dxa"/>
            <w:vAlign w:val="center"/>
          </w:tcPr>
          <w:p w14:paraId="118F3115" w14:textId="068C3DA7" w:rsidR="0090186C" w:rsidRPr="00526271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7FE600EB" w:rsidR="002C32BB" w:rsidRDefault="00727E3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628,3</w:t>
            </w:r>
          </w:p>
        </w:tc>
        <w:tc>
          <w:tcPr>
            <w:tcW w:w="1276" w:type="dxa"/>
            <w:vAlign w:val="center"/>
          </w:tcPr>
          <w:p w14:paraId="7259D182" w14:textId="1AA304BE" w:rsidR="002C32BB" w:rsidRPr="00526271" w:rsidRDefault="00727E3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292,0</w:t>
            </w:r>
          </w:p>
        </w:tc>
        <w:tc>
          <w:tcPr>
            <w:tcW w:w="1242" w:type="dxa"/>
            <w:vAlign w:val="center"/>
          </w:tcPr>
          <w:p w14:paraId="7AC76E45" w14:textId="4D25F5F3" w:rsidR="002C32BB" w:rsidRPr="00526271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5A3678E0" w:rsidR="002C32BB" w:rsidRDefault="00727E3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147,7</w:t>
            </w:r>
          </w:p>
        </w:tc>
        <w:tc>
          <w:tcPr>
            <w:tcW w:w="1276" w:type="dxa"/>
            <w:vAlign w:val="center"/>
          </w:tcPr>
          <w:p w14:paraId="54C4A0A4" w14:textId="5746F7E3" w:rsidR="002C32BB" w:rsidRPr="00526271" w:rsidRDefault="00727E3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110,3</w:t>
            </w:r>
          </w:p>
        </w:tc>
        <w:tc>
          <w:tcPr>
            <w:tcW w:w="1242" w:type="dxa"/>
            <w:vAlign w:val="center"/>
          </w:tcPr>
          <w:p w14:paraId="16538374" w14:textId="445953A7" w:rsidR="002C32BB" w:rsidRPr="00526271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761599C6" w:rsidR="00091882" w:rsidRDefault="00727E3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208,2</w:t>
            </w:r>
          </w:p>
        </w:tc>
        <w:tc>
          <w:tcPr>
            <w:tcW w:w="1276" w:type="dxa"/>
            <w:vAlign w:val="center"/>
          </w:tcPr>
          <w:p w14:paraId="106C1E92" w14:textId="23C45B68" w:rsidR="00091882" w:rsidRPr="00526271" w:rsidRDefault="00727E3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229,3</w:t>
            </w:r>
          </w:p>
        </w:tc>
        <w:tc>
          <w:tcPr>
            <w:tcW w:w="1242" w:type="dxa"/>
            <w:vAlign w:val="center"/>
          </w:tcPr>
          <w:p w14:paraId="1EDD799E" w14:textId="31EB087B" w:rsidR="00091882" w:rsidRPr="00526271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1D60D9FB" w:rsidR="0040376B" w:rsidRPr="0040376B" w:rsidRDefault="00727E3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1276" w:type="dxa"/>
            <w:vAlign w:val="center"/>
          </w:tcPr>
          <w:p w14:paraId="556DBA39" w14:textId="1C3C833B" w:rsidR="0040376B" w:rsidRPr="00526271" w:rsidRDefault="00727E3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1242" w:type="dxa"/>
            <w:vAlign w:val="center"/>
          </w:tcPr>
          <w:p w14:paraId="6D8E0C6C" w14:textId="20B13638" w:rsidR="0040376B" w:rsidRPr="00526271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4C49E7E9" w:rsidR="00E717D8" w:rsidRPr="00E717D8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bottom"/>
          </w:tcPr>
          <w:p w14:paraId="38609EDB" w14:textId="77777777" w:rsidR="00E717D8" w:rsidRDefault="00852FF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  <w:p w14:paraId="52B3D33F" w14:textId="1E2988B0" w:rsidR="00445AEB" w:rsidRPr="00E717D8" w:rsidRDefault="00445AE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14:paraId="57BC01D6" w14:textId="4979CC86" w:rsidR="00E717D8" w:rsidRPr="00E717D8" w:rsidRDefault="00D8759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56FB7602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9B6D5B">
        <w:rPr>
          <w:rFonts w:ascii="Times New Roman" w:hAnsi="Times New Roman" w:cs="Times New Roman"/>
          <w:sz w:val="28"/>
          <w:szCs w:val="28"/>
        </w:rPr>
        <w:t>3057,0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9B6D5B">
        <w:rPr>
          <w:rFonts w:ascii="Times New Roman" w:hAnsi="Times New Roman" w:cs="Times New Roman"/>
          <w:sz w:val="28"/>
          <w:szCs w:val="28"/>
        </w:rPr>
        <w:t>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CCACE43" w14:textId="31521A54" w:rsidR="00406304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06304">
        <w:rPr>
          <w:rFonts w:ascii="Times New Roman" w:hAnsi="Times New Roman" w:cs="Times New Roman"/>
          <w:b/>
          <w:sz w:val="28"/>
          <w:szCs w:val="28"/>
        </w:rPr>
        <w:t xml:space="preserve">01 02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6304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C8E62D" w14:textId="77B6BACF" w:rsidR="00406304" w:rsidRDefault="0097545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решения предлагает расходы в сумме 577,1 тыс. рублей, что больше  по отношению к бюджету 2024 года на 96,2 тыс. рублей.</w:t>
      </w:r>
    </w:p>
    <w:p w14:paraId="33ADF1D4" w14:textId="61BB7693" w:rsidR="0048307C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975450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75450">
        <w:rPr>
          <w:rFonts w:ascii="Times New Roman" w:hAnsi="Times New Roman" w:cs="Times New Roman"/>
          <w:sz w:val="28"/>
          <w:szCs w:val="28"/>
        </w:rPr>
        <w:t>0,0</w:t>
      </w:r>
      <w:r w:rsidR="009B6D5B"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 w:rsid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8307C">
        <w:rPr>
          <w:rFonts w:ascii="Times New Roman" w:hAnsi="Times New Roman" w:cs="Times New Roman"/>
          <w:sz w:val="28"/>
          <w:szCs w:val="28"/>
        </w:rPr>
        <w:t>не изменились</w:t>
      </w:r>
      <w:r w:rsidR="0048307C"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4033CAAA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9B6D5B">
        <w:rPr>
          <w:rFonts w:ascii="Times New Roman" w:hAnsi="Times New Roman" w:cs="Times New Roman"/>
          <w:sz w:val="28"/>
          <w:szCs w:val="28"/>
        </w:rPr>
        <w:t>1034,9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B6D5B">
        <w:rPr>
          <w:rFonts w:ascii="Times New Roman" w:hAnsi="Times New Roman" w:cs="Times New Roman"/>
          <w:sz w:val="28"/>
          <w:szCs w:val="28"/>
        </w:rPr>
        <w:t>38,6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Расходные обязательства в 2025 году по данному подразделу </w:t>
      </w:r>
      <w:r w:rsidR="00975450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B6D5B">
        <w:rPr>
          <w:rFonts w:ascii="Times New Roman" w:hAnsi="Times New Roman" w:cs="Times New Roman"/>
          <w:sz w:val="28"/>
          <w:szCs w:val="28"/>
        </w:rPr>
        <w:t>68,0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9868F" w14:textId="5A5A088A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4681920F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9B6D5B">
        <w:rPr>
          <w:rFonts w:ascii="Times New Roman" w:hAnsi="Times New Roman" w:cs="Times New Roman"/>
          <w:sz w:val="28"/>
          <w:szCs w:val="28"/>
        </w:rPr>
        <w:t>1069,1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6D5B">
        <w:rPr>
          <w:rFonts w:ascii="Times New Roman" w:hAnsi="Times New Roman" w:cs="Times New Roman"/>
          <w:sz w:val="28"/>
          <w:szCs w:val="28"/>
        </w:rPr>
        <w:t>39,8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9B6D5B">
        <w:rPr>
          <w:rFonts w:ascii="Times New Roman" w:hAnsi="Times New Roman" w:cs="Times New Roman"/>
          <w:sz w:val="28"/>
          <w:szCs w:val="28"/>
        </w:rPr>
        <w:t>97,2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503101C2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увеличить ассигнования на </w:t>
      </w:r>
      <w:r w:rsidR="009B6D5B">
        <w:rPr>
          <w:rFonts w:ascii="Times New Roman" w:hAnsi="Times New Roman" w:cs="Times New Roman"/>
          <w:sz w:val="28"/>
          <w:szCs w:val="28"/>
        </w:rPr>
        <w:t>16,8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 по сравнению с 2024 годом, что составит сумму </w:t>
      </w:r>
      <w:r w:rsidR="009B6D5B">
        <w:rPr>
          <w:rFonts w:ascii="Times New Roman" w:hAnsi="Times New Roman" w:cs="Times New Roman"/>
          <w:sz w:val="28"/>
          <w:szCs w:val="28"/>
        </w:rPr>
        <w:t>176,8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300BA32D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9B6D5B">
        <w:rPr>
          <w:rFonts w:ascii="Times New Roman" w:hAnsi="Times New Roman" w:cs="Times New Roman"/>
          <w:sz w:val="28"/>
          <w:szCs w:val="28"/>
        </w:rPr>
        <w:t>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5B">
        <w:rPr>
          <w:rFonts w:ascii="Times New Roman" w:hAnsi="Times New Roman" w:cs="Times New Roman"/>
          <w:sz w:val="28"/>
          <w:szCs w:val="28"/>
        </w:rPr>
        <w:t>не изменились</w:t>
      </w:r>
      <w:r w:rsidR="002327B0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6C9F189C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9B6D5B">
        <w:rPr>
          <w:rFonts w:ascii="Times New Roman" w:hAnsi="Times New Roman" w:cs="Times New Roman"/>
          <w:sz w:val="28"/>
          <w:szCs w:val="28"/>
        </w:rPr>
        <w:t>292,0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B6D5B">
        <w:rPr>
          <w:rFonts w:ascii="Times New Roman" w:hAnsi="Times New Roman" w:cs="Times New Roman"/>
          <w:sz w:val="28"/>
          <w:szCs w:val="28"/>
        </w:rPr>
        <w:t>146,0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9B6D5B">
        <w:rPr>
          <w:rFonts w:ascii="Times New Roman" w:hAnsi="Times New Roman" w:cs="Times New Roman"/>
          <w:sz w:val="28"/>
          <w:szCs w:val="28"/>
        </w:rPr>
        <w:t>146,0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1B695806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9B6D5B">
        <w:rPr>
          <w:rFonts w:ascii="Times New Roman" w:hAnsi="Times New Roman" w:cs="Times New Roman"/>
          <w:sz w:val="28"/>
          <w:szCs w:val="28"/>
        </w:rPr>
        <w:t>110,3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B6D5B">
        <w:rPr>
          <w:rFonts w:ascii="Times New Roman" w:hAnsi="Times New Roman" w:cs="Times New Roman"/>
          <w:sz w:val="28"/>
          <w:szCs w:val="28"/>
        </w:rPr>
        <w:t>13,1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B6D5B">
        <w:rPr>
          <w:rFonts w:ascii="Times New Roman" w:hAnsi="Times New Roman" w:cs="Times New Roman"/>
          <w:sz w:val="28"/>
          <w:szCs w:val="28"/>
        </w:rPr>
        <w:t>больше</w:t>
      </w:r>
      <w:r w:rsidR="006B37F5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4C4012C1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9B6D5B">
        <w:rPr>
          <w:rFonts w:ascii="Times New Roman" w:hAnsi="Times New Roman" w:cs="Times New Roman"/>
          <w:sz w:val="28"/>
          <w:szCs w:val="28"/>
        </w:rPr>
        <w:t>229,3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6E7ABB">
        <w:rPr>
          <w:rFonts w:ascii="Times New Roman" w:hAnsi="Times New Roman" w:cs="Times New Roman"/>
          <w:sz w:val="28"/>
          <w:szCs w:val="28"/>
        </w:rPr>
        <w:t>увеличился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6E7ABB">
        <w:rPr>
          <w:rFonts w:ascii="Times New Roman" w:hAnsi="Times New Roman" w:cs="Times New Roman"/>
          <w:sz w:val="28"/>
          <w:szCs w:val="28"/>
        </w:rPr>
        <w:t>21,1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378734DC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6E7ABB">
        <w:rPr>
          <w:rFonts w:ascii="Times New Roman" w:hAnsi="Times New Roman" w:cs="Times New Roman"/>
          <w:sz w:val="28"/>
          <w:szCs w:val="28"/>
        </w:rPr>
        <w:t xml:space="preserve">5,5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CA403A">
        <w:rPr>
          <w:rFonts w:ascii="Times New Roman" w:hAnsi="Times New Roman" w:cs="Times New Roman"/>
          <w:sz w:val="28"/>
          <w:szCs w:val="28"/>
        </w:rPr>
        <w:t>повлекло</w:t>
      </w:r>
      <w:r w:rsidR="006E7ABB">
        <w:rPr>
          <w:rFonts w:ascii="Times New Roman" w:hAnsi="Times New Roman" w:cs="Times New Roman"/>
          <w:sz w:val="28"/>
          <w:szCs w:val="28"/>
        </w:rPr>
        <w:t xml:space="preserve">  уменьшение</w:t>
      </w:r>
      <w:r w:rsidR="00CA403A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="000F7B77">
        <w:rPr>
          <w:rFonts w:ascii="Times New Roman" w:hAnsi="Times New Roman" w:cs="Times New Roman"/>
          <w:sz w:val="28"/>
          <w:szCs w:val="28"/>
        </w:rPr>
        <w:t>4</w:t>
      </w:r>
      <w:r w:rsidR="00CA403A">
        <w:rPr>
          <w:rFonts w:ascii="Times New Roman" w:hAnsi="Times New Roman" w:cs="Times New Roman"/>
          <w:sz w:val="28"/>
          <w:szCs w:val="28"/>
        </w:rPr>
        <w:t xml:space="preserve"> </w:t>
      </w:r>
      <w:r w:rsidR="008A764C">
        <w:rPr>
          <w:rFonts w:ascii="Times New Roman" w:hAnsi="Times New Roman" w:cs="Times New Roman"/>
          <w:sz w:val="28"/>
          <w:szCs w:val="28"/>
        </w:rPr>
        <w:t>года</w:t>
      </w:r>
      <w:r w:rsidR="006E7ABB">
        <w:rPr>
          <w:rFonts w:ascii="Times New Roman" w:hAnsi="Times New Roman" w:cs="Times New Roman"/>
          <w:sz w:val="28"/>
          <w:szCs w:val="28"/>
        </w:rPr>
        <w:t xml:space="preserve"> на сумму 21,1 тыс. рублей</w:t>
      </w:r>
      <w:r w:rsidR="008A764C">
        <w:rPr>
          <w:rFonts w:ascii="Times New Roman" w:hAnsi="Times New Roman" w:cs="Times New Roman"/>
          <w:sz w:val="28"/>
          <w:szCs w:val="28"/>
        </w:rPr>
        <w:t>.</w:t>
      </w:r>
    </w:p>
    <w:p w14:paraId="4260255A" w14:textId="7F693F9C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A764C">
        <w:rPr>
          <w:rFonts w:ascii="Times New Roman" w:hAnsi="Times New Roman" w:cs="Times New Roman"/>
          <w:sz w:val="28"/>
          <w:szCs w:val="28"/>
        </w:rPr>
        <w:t xml:space="preserve"> не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A403A">
        <w:rPr>
          <w:rFonts w:ascii="Times New Roman" w:hAnsi="Times New Roman" w:cs="Times New Roman"/>
          <w:sz w:val="28"/>
          <w:szCs w:val="28"/>
        </w:rPr>
        <w:t xml:space="preserve">и </w:t>
      </w:r>
      <w:r w:rsidR="008A764C">
        <w:rPr>
          <w:rFonts w:ascii="Times New Roman" w:hAnsi="Times New Roman" w:cs="Times New Roman"/>
          <w:sz w:val="28"/>
          <w:szCs w:val="28"/>
        </w:rPr>
        <w:t>остались</w:t>
      </w:r>
      <w:r w:rsidR="00CA40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E7ABB">
        <w:rPr>
          <w:rFonts w:ascii="Times New Roman" w:hAnsi="Times New Roman" w:cs="Times New Roman"/>
          <w:sz w:val="28"/>
          <w:szCs w:val="28"/>
        </w:rPr>
        <w:t>5</w:t>
      </w:r>
      <w:r w:rsidR="00150778">
        <w:rPr>
          <w:rFonts w:ascii="Times New Roman" w:hAnsi="Times New Roman" w:cs="Times New Roman"/>
          <w:sz w:val="28"/>
          <w:szCs w:val="28"/>
        </w:rPr>
        <w:t>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54AE6AD7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079CB514" w14:textId="77777777" w:rsidR="00EE3CE4" w:rsidRPr="0048307C" w:rsidRDefault="00EE3CE4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1C65F324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6E7ABB">
        <w:rPr>
          <w:rFonts w:ascii="Times New Roman" w:hAnsi="Times New Roman" w:cs="Times New Roman"/>
          <w:sz w:val="28"/>
          <w:szCs w:val="28"/>
        </w:rPr>
        <w:t>186,3</w:t>
      </w:r>
      <w:r w:rsidR="00F02A64">
        <w:rPr>
          <w:rFonts w:ascii="Times New Roman" w:hAnsi="Times New Roman" w:cs="Times New Roman"/>
          <w:sz w:val="28"/>
          <w:szCs w:val="28"/>
        </w:rPr>
        <w:t xml:space="preserve">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060888F4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017D65C6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на </w:t>
      </w:r>
      <w:r w:rsidR="0058308F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C93D19">
        <w:rPr>
          <w:rFonts w:ascii="Times New Roman" w:hAnsi="Times New Roman" w:cs="Times New Roman"/>
          <w:sz w:val="28"/>
          <w:szCs w:val="28"/>
        </w:rPr>
        <w:t>Гоноховского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93D19">
        <w:rPr>
          <w:rFonts w:ascii="Times New Roman" w:hAnsi="Times New Roman" w:cs="Times New Roman"/>
          <w:sz w:val="28"/>
          <w:szCs w:val="28"/>
        </w:rPr>
        <w:t>Гоноховский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5B69F0EE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D19">
        <w:rPr>
          <w:rFonts w:ascii="Times New Roman" w:hAnsi="Times New Roman" w:cs="Times New Roman"/>
          <w:sz w:val="28"/>
          <w:szCs w:val="28"/>
        </w:rPr>
        <w:t>Гоноховскому</w:t>
      </w:r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5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F4B79" w14:textId="77777777" w:rsidR="003D6910" w:rsidRDefault="003D6910" w:rsidP="00A2208E">
      <w:pPr>
        <w:spacing w:after="0" w:line="240" w:lineRule="auto"/>
      </w:pPr>
      <w:r>
        <w:separator/>
      </w:r>
    </w:p>
  </w:endnote>
  <w:endnote w:type="continuationSeparator" w:id="0">
    <w:p w14:paraId="4C2B91E9" w14:textId="77777777" w:rsidR="003D6910" w:rsidRDefault="003D6910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E3CE4">
      <w:rPr>
        <w:noProof/>
      </w:rPr>
      <w:t>13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E19C6" w14:textId="77777777" w:rsidR="003D6910" w:rsidRDefault="003D6910" w:rsidP="00A2208E">
      <w:pPr>
        <w:spacing w:after="0" w:line="240" w:lineRule="auto"/>
      </w:pPr>
      <w:r>
        <w:separator/>
      </w:r>
    </w:p>
  </w:footnote>
  <w:footnote w:type="continuationSeparator" w:id="0">
    <w:p w14:paraId="189E07F3" w14:textId="77777777" w:rsidR="003D6910" w:rsidRDefault="003D6910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65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16CC2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509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679EB"/>
    <w:rsid w:val="00181124"/>
    <w:rsid w:val="001813AD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1345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5AF6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559B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5CD3"/>
    <w:rsid w:val="00256665"/>
    <w:rsid w:val="00257980"/>
    <w:rsid w:val="00262775"/>
    <w:rsid w:val="002656D4"/>
    <w:rsid w:val="00266585"/>
    <w:rsid w:val="00267AB8"/>
    <w:rsid w:val="00271967"/>
    <w:rsid w:val="00271E1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4263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5ED4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E6B9C"/>
    <w:rsid w:val="002F020D"/>
    <w:rsid w:val="002F197E"/>
    <w:rsid w:val="002F1D64"/>
    <w:rsid w:val="002F1DD7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36D"/>
    <w:rsid w:val="00364CAA"/>
    <w:rsid w:val="00367A75"/>
    <w:rsid w:val="0037012E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1CF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D6910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3F6ACB"/>
    <w:rsid w:val="004000B1"/>
    <w:rsid w:val="0040376B"/>
    <w:rsid w:val="00404073"/>
    <w:rsid w:val="00405105"/>
    <w:rsid w:val="00406304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45AEB"/>
    <w:rsid w:val="00450874"/>
    <w:rsid w:val="004508E8"/>
    <w:rsid w:val="004517DD"/>
    <w:rsid w:val="004518A0"/>
    <w:rsid w:val="0045261C"/>
    <w:rsid w:val="00453A67"/>
    <w:rsid w:val="00454374"/>
    <w:rsid w:val="0045624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02A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1D2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32F0"/>
    <w:rsid w:val="0055663B"/>
    <w:rsid w:val="00556A60"/>
    <w:rsid w:val="005636CE"/>
    <w:rsid w:val="00565710"/>
    <w:rsid w:val="00565A55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308F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51B6"/>
    <w:rsid w:val="005D70F1"/>
    <w:rsid w:val="005E0A60"/>
    <w:rsid w:val="005E0C19"/>
    <w:rsid w:val="005E13EA"/>
    <w:rsid w:val="005E1A7B"/>
    <w:rsid w:val="005E1BDF"/>
    <w:rsid w:val="005E22C1"/>
    <w:rsid w:val="005E3ED3"/>
    <w:rsid w:val="005E450C"/>
    <w:rsid w:val="005E4EF1"/>
    <w:rsid w:val="005E727D"/>
    <w:rsid w:val="005E7734"/>
    <w:rsid w:val="005F0C06"/>
    <w:rsid w:val="005F23A8"/>
    <w:rsid w:val="005F3C7F"/>
    <w:rsid w:val="005F3F19"/>
    <w:rsid w:val="005F537B"/>
    <w:rsid w:val="005F788A"/>
    <w:rsid w:val="0060233F"/>
    <w:rsid w:val="0060247A"/>
    <w:rsid w:val="006029DA"/>
    <w:rsid w:val="00603C5F"/>
    <w:rsid w:val="00604230"/>
    <w:rsid w:val="00605F8C"/>
    <w:rsid w:val="0060765C"/>
    <w:rsid w:val="00607761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47DB"/>
    <w:rsid w:val="006561F6"/>
    <w:rsid w:val="006578C7"/>
    <w:rsid w:val="00660639"/>
    <w:rsid w:val="006613FF"/>
    <w:rsid w:val="00662976"/>
    <w:rsid w:val="00663C6F"/>
    <w:rsid w:val="0066525C"/>
    <w:rsid w:val="00665ECB"/>
    <w:rsid w:val="006726A3"/>
    <w:rsid w:val="0067305A"/>
    <w:rsid w:val="0067329A"/>
    <w:rsid w:val="00674D46"/>
    <w:rsid w:val="00675A98"/>
    <w:rsid w:val="00676BC6"/>
    <w:rsid w:val="006778EC"/>
    <w:rsid w:val="00677F29"/>
    <w:rsid w:val="00681522"/>
    <w:rsid w:val="00681725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948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E7ABB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27E31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5773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088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17B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2FFB"/>
    <w:rsid w:val="008534C5"/>
    <w:rsid w:val="00853624"/>
    <w:rsid w:val="0085365D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96DCE"/>
    <w:rsid w:val="008A2A40"/>
    <w:rsid w:val="008A4197"/>
    <w:rsid w:val="008A42B8"/>
    <w:rsid w:val="008A6EE9"/>
    <w:rsid w:val="008A7283"/>
    <w:rsid w:val="008A729E"/>
    <w:rsid w:val="008A764C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0B49"/>
    <w:rsid w:val="008D1BEA"/>
    <w:rsid w:val="008D5174"/>
    <w:rsid w:val="008D5FA8"/>
    <w:rsid w:val="008D6C89"/>
    <w:rsid w:val="008D7D6B"/>
    <w:rsid w:val="008E1828"/>
    <w:rsid w:val="008E4C25"/>
    <w:rsid w:val="008E4CC7"/>
    <w:rsid w:val="008E5048"/>
    <w:rsid w:val="008F0957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6AC3"/>
    <w:rsid w:val="009071ED"/>
    <w:rsid w:val="009077C7"/>
    <w:rsid w:val="00911272"/>
    <w:rsid w:val="009116B6"/>
    <w:rsid w:val="00913478"/>
    <w:rsid w:val="009156AD"/>
    <w:rsid w:val="009178CC"/>
    <w:rsid w:val="009208A6"/>
    <w:rsid w:val="00923AE2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75450"/>
    <w:rsid w:val="00980161"/>
    <w:rsid w:val="009805C5"/>
    <w:rsid w:val="00983F7A"/>
    <w:rsid w:val="0098766C"/>
    <w:rsid w:val="00990023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6D5B"/>
    <w:rsid w:val="009B74D6"/>
    <w:rsid w:val="009B772C"/>
    <w:rsid w:val="009B7D84"/>
    <w:rsid w:val="009B7DA4"/>
    <w:rsid w:val="009C1990"/>
    <w:rsid w:val="009C38A0"/>
    <w:rsid w:val="009C3F29"/>
    <w:rsid w:val="009D08CA"/>
    <w:rsid w:val="009D39D5"/>
    <w:rsid w:val="009D5678"/>
    <w:rsid w:val="009D7764"/>
    <w:rsid w:val="009E090C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588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A67"/>
    <w:rsid w:val="00AD3E78"/>
    <w:rsid w:val="00AD45ED"/>
    <w:rsid w:val="00AD4D57"/>
    <w:rsid w:val="00AD5C69"/>
    <w:rsid w:val="00AD5F91"/>
    <w:rsid w:val="00AD72FA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4C"/>
    <w:rsid w:val="00B24472"/>
    <w:rsid w:val="00B2466D"/>
    <w:rsid w:val="00B2580B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1911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E6589"/>
    <w:rsid w:val="00BE6C28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33E"/>
    <w:rsid w:val="00C15B15"/>
    <w:rsid w:val="00C2030E"/>
    <w:rsid w:val="00C20692"/>
    <w:rsid w:val="00C208DA"/>
    <w:rsid w:val="00C2152F"/>
    <w:rsid w:val="00C21CF2"/>
    <w:rsid w:val="00C23090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1915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31DA"/>
    <w:rsid w:val="00C93D19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6EE8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1D6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87597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77D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3CE4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2A64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6D4B"/>
    <w:rsid w:val="00F17F92"/>
    <w:rsid w:val="00F2061A"/>
    <w:rsid w:val="00F21A55"/>
    <w:rsid w:val="00F22D7A"/>
    <w:rsid w:val="00F23658"/>
    <w:rsid w:val="00F253AF"/>
    <w:rsid w:val="00F25839"/>
    <w:rsid w:val="00F260AA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459"/>
    <w:rsid w:val="00F46767"/>
    <w:rsid w:val="00F50AD1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5438"/>
    <w:rsid w:val="00FA5DF2"/>
    <w:rsid w:val="00FA656A"/>
    <w:rsid w:val="00FA763F"/>
    <w:rsid w:val="00FA7DE6"/>
    <w:rsid w:val="00FB21AB"/>
    <w:rsid w:val="00FB2E55"/>
    <w:rsid w:val="00FB4192"/>
    <w:rsid w:val="00FB42B7"/>
    <w:rsid w:val="00FB522A"/>
    <w:rsid w:val="00FC0593"/>
    <w:rsid w:val="00FC17A9"/>
    <w:rsid w:val="00FC4E14"/>
    <w:rsid w:val="00FD003E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7C8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35.700000000000003</c:v>
                </c:pt>
                <c:pt idx="1">
                  <c:v>20.399999999999999</c:v>
                </c:pt>
                <c:pt idx="2">
                  <c:v>43.9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Единый сельхозналог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80.400000000000006</c:v>
                </c:pt>
                <c:pt idx="2">
                  <c:v>14.5</c:v>
                </c:pt>
                <c:pt idx="3" formatCode="0.0">
                  <c:v>0.5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   (Диаграмма №3)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58.3</c:v>
                </c:pt>
                <c:pt idx="1">
                  <c:v>41.7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сельского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  <c:pt idx="3">
                  <c:v>Прочие межбюджетные трансферты,передаваемые бюджетам сельских поселений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12.1</c:v>
                </c:pt>
                <c:pt idx="1">
                  <c:v>5.3</c:v>
                </c:pt>
                <c:pt idx="2">
                  <c:v>20.100000000000001</c:v>
                </c:pt>
                <c:pt idx="3">
                  <c:v>62.5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6AF5-8FFE-4218-8F50-6E574414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13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357</cp:revision>
  <cp:lastPrinted>2024-11-14T02:48:00Z</cp:lastPrinted>
  <dcterms:created xsi:type="dcterms:W3CDTF">2023-11-20T02:58:00Z</dcterms:created>
  <dcterms:modified xsi:type="dcterms:W3CDTF">2024-11-20T03:48:00Z</dcterms:modified>
</cp:coreProperties>
</file>