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507348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507348" w:rsidRPr="00507348">
        <w:t xml:space="preserve"> </w:t>
      </w:r>
      <w:r w:rsidR="00507348" w:rsidRPr="00507348">
        <w:rPr>
          <w:rFonts w:ascii="Times New Roman" w:hAnsi="Times New Roman"/>
          <w:b/>
          <w:sz w:val="18"/>
          <w:szCs w:val="18"/>
        </w:rPr>
        <w:t xml:space="preserve">ksp.kam210923@mail.ru </w:t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8A6">
        <w:rPr>
          <w:rFonts w:ascii="Times New Roman" w:hAnsi="Times New Roman"/>
          <w:sz w:val="28"/>
          <w:szCs w:val="28"/>
          <w:u w:val="single"/>
        </w:rPr>
        <w:t>«</w:t>
      </w:r>
      <w:r w:rsidR="00C7706A">
        <w:rPr>
          <w:rFonts w:ascii="Times New Roman" w:hAnsi="Times New Roman"/>
          <w:sz w:val="28"/>
          <w:szCs w:val="28"/>
          <w:u w:val="single"/>
        </w:rPr>
        <w:t>17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7706A">
        <w:rPr>
          <w:rFonts w:ascii="Times New Roman" w:hAnsi="Times New Roman"/>
          <w:sz w:val="28"/>
          <w:szCs w:val="28"/>
          <w:u w:val="single"/>
        </w:rPr>
        <w:t>марта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4B73FD">
        <w:rPr>
          <w:rFonts w:ascii="Times New Roman" w:hAnsi="Times New Roman"/>
          <w:sz w:val="28"/>
          <w:szCs w:val="28"/>
          <w:u w:val="single"/>
        </w:rPr>
        <w:t>5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 года № </w:t>
      </w:r>
      <w:r w:rsidR="00507348" w:rsidRPr="000A38A6">
        <w:rPr>
          <w:rFonts w:ascii="Times New Roman" w:hAnsi="Times New Roman"/>
          <w:sz w:val="28"/>
          <w:szCs w:val="28"/>
          <w:u w:val="single"/>
        </w:rPr>
        <w:t>27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D7401A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496B50">
        <w:rPr>
          <w:rFonts w:ascii="Times New Roman" w:hAnsi="Times New Roman"/>
          <w:sz w:val="28"/>
          <w:szCs w:val="28"/>
        </w:rPr>
        <w:t>Н</w:t>
      </w:r>
      <w:r w:rsidRPr="004D32CC">
        <w:rPr>
          <w:rFonts w:ascii="Times New Roman" w:hAnsi="Times New Roman"/>
          <w:sz w:val="28"/>
          <w:szCs w:val="28"/>
        </w:rPr>
        <w:t xml:space="preserve">а основании пункта  </w:t>
      </w:r>
      <w:r w:rsidR="00C7706A">
        <w:rPr>
          <w:rFonts w:ascii="Times New Roman" w:hAnsi="Times New Roman"/>
          <w:sz w:val="28"/>
          <w:szCs w:val="28"/>
        </w:rPr>
        <w:t>3.1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C7706A">
        <w:rPr>
          <w:rFonts w:ascii="Times New Roman" w:hAnsi="Times New Roman"/>
          <w:sz w:val="28"/>
          <w:szCs w:val="28"/>
        </w:rPr>
        <w:t>5</w:t>
      </w:r>
      <w:r w:rsidRPr="004D32CC">
        <w:rPr>
          <w:rFonts w:ascii="Times New Roman" w:hAnsi="Times New Roman"/>
          <w:sz w:val="28"/>
          <w:szCs w:val="28"/>
        </w:rPr>
        <w:t xml:space="preserve"> 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C7706A">
        <w:rPr>
          <w:rFonts w:ascii="Times New Roman" w:hAnsi="Times New Roman"/>
          <w:sz w:val="28"/>
          <w:szCs w:val="28"/>
        </w:rPr>
        <w:t>18</w:t>
      </w:r>
      <w:r w:rsidR="002557E2">
        <w:rPr>
          <w:rFonts w:ascii="Times New Roman" w:hAnsi="Times New Roman"/>
          <w:sz w:val="28"/>
          <w:szCs w:val="28"/>
        </w:rPr>
        <w:t>.</w:t>
      </w:r>
      <w:r w:rsidR="00C7706A">
        <w:rPr>
          <w:rFonts w:ascii="Times New Roman" w:hAnsi="Times New Roman"/>
          <w:sz w:val="28"/>
          <w:szCs w:val="28"/>
        </w:rPr>
        <w:t>12</w:t>
      </w:r>
      <w:r w:rsidR="002557E2">
        <w:rPr>
          <w:rFonts w:ascii="Times New Roman" w:hAnsi="Times New Roman"/>
          <w:sz w:val="28"/>
          <w:szCs w:val="28"/>
        </w:rPr>
        <w:t>.202</w:t>
      </w:r>
      <w:r w:rsidR="00FD4B8C">
        <w:rPr>
          <w:rFonts w:ascii="Times New Roman" w:hAnsi="Times New Roman"/>
          <w:sz w:val="28"/>
          <w:szCs w:val="28"/>
        </w:rPr>
        <w:t>4</w:t>
      </w:r>
      <w:r w:rsidR="002557E2">
        <w:rPr>
          <w:rFonts w:ascii="Times New Roman" w:hAnsi="Times New Roman"/>
          <w:sz w:val="28"/>
          <w:szCs w:val="28"/>
        </w:rPr>
        <w:t xml:space="preserve"> № </w:t>
      </w:r>
      <w:r w:rsidR="00C7706A">
        <w:rPr>
          <w:rFonts w:ascii="Times New Roman" w:hAnsi="Times New Roman"/>
          <w:sz w:val="28"/>
          <w:szCs w:val="28"/>
        </w:rPr>
        <w:t>172(с изменениями от 29.01.2025 №104)</w:t>
      </w:r>
      <w:r w:rsidR="002557E2">
        <w:rPr>
          <w:rFonts w:ascii="Times New Roman" w:hAnsi="Times New Roman"/>
          <w:sz w:val="28"/>
          <w:szCs w:val="28"/>
        </w:rPr>
        <w:t>.</w:t>
      </w:r>
    </w:p>
    <w:p w:rsidR="004D32CC" w:rsidRPr="002557E2" w:rsidRDefault="002557E2" w:rsidP="00D7401A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FD4B8C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694706">
        <w:rPr>
          <w:rFonts w:ascii="Times New Roman" w:hAnsi="Times New Roman"/>
          <w:sz w:val="28"/>
          <w:szCs w:val="28"/>
        </w:rPr>
        <w:t>п</w:t>
      </w:r>
      <w:r w:rsidR="0089782E">
        <w:rPr>
          <w:rFonts w:ascii="Times New Roman" w:hAnsi="Times New Roman"/>
          <w:sz w:val="28"/>
          <w:szCs w:val="28"/>
        </w:rPr>
        <w:t xml:space="preserve">роекта </w:t>
      </w:r>
      <w:r w:rsidR="00D7401A">
        <w:rPr>
          <w:rFonts w:ascii="Times New Roman" w:hAnsi="Times New Roman"/>
          <w:sz w:val="28"/>
          <w:szCs w:val="28"/>
        </w:rPr>
        <w:t>решения</w:t>
      </w:r>
      <w:r w:rsidR="0089782E">
        <w:rPr>
          <w:rFonts w:ascii="Times New Roman" w:hAnsi="Times New Roman"/>
          <w:sz w:val="28"/>
          <w:szCs w:val="28"/>
        </w:rPr>
        <w:t xml:space="preserve"> </w:t>
      </w:r>
      <w:r w:rsidR="00D7401A">
        <w:rPr>
          <w:rFonts w:ascii="Times New Roman" w:hAnsi="Times New Roman"/>
          <w:sz w:val="28"/>
          <w:szCs w:val="28"/>
        </w:rPr>
        <w:t xml:space="preserve">Плотниковского сельского Совета депутатов </w:t>
      </w:r>
      <w:r w:rsidR="002013A9">
        <w:rPr>
          <w:rFonts w:ascii="Times New Roman" w:hAnsi="Times New Roman"/>
          <w:sz w:val="28"/>
          <w:szCs w:val="28"/>
        </w:rPr>
        <w:t xml:space="preserve"> Каменского района Алтайского края </w:t>
      </w:r>
      <w:r w:rsidR="00694706">
        <w:rPr>
          <w:rFonts w:ascii="Times New Roman" w:hAnsi="Times New Roman"/>
          <w:sz w:val="28"/>
          <w:szCs w:val="28"/>
        </w:rPr>
        <w:t>«О</w:t>
      </w:r>
      <w:r w:rsidR="00FD4B8C" w:rsidRPr="00FD4B8C">
        <w:rPr>
          <w:rFonts w:ascii="Times New Roman" w:hAnsi="Times New Roman"/>
          <w:sz w:val="28"/>
          <w:szCs w:val="28"/>
        </w:rPr>
        <w:t xml:space="preserve">б </w:t>
      </w:r>
      <w:r w:rsidR="00D7401A">
        <w:rPr>
          <w:rFonts w:ascii="Times New Roman" w:hAnsi="Times New Roman"/>
          <w:sz w:val="28"/>
          <w:szCs w:val="28"/>
        </w:rPr>
        <w:t xml:space="preserve">исполнении </w:t>
      </w:r>
      <w:r w:rsidR="00FD4B8C" w:rsidRPr="00FD4B8C">
        <w:rPr>
          <w:rFonts w:ascii="Times New Roman" w:hAnsi="Times New Roman"/>
          <w:sz w:val="28"/>
          <w:szCs w:val="28"/>
        </w:rPr>
        <w:t xml:space="preserve"> бюджета</w:t>
      </w:r>
      <w:r w:rsidR="00FD4B8C">
        <w:rPr>
          <w:rFonts w:ascii="Times New Roman" w:hAnsi="Times New Roman"/>
          <w:sz w:val="28"/>
          <w:szCs w:val="28"/>
        </w:rPr>
        <w:t xml:space="preserve"> </w:t>
      </w:r>
      <w:r w:rsidR="00FD4B8C" w:rsidRPr="00FD4B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7401A">
        <w:rPr>
          <w:rFonts w:ascii="Times New Roman" w:hAnsi="Times New Roman"/>
          <w:sz w:val="28"/>
          <w:szCs w:val="28"/>
        </w:rPr>
        <w:t>Плотниковского</w:t>
      </w:r>
      <w:r w:rsidR="00FD4B8C" w:rsidRPr="00FD4B8C">
        <w:rPr>
          <w:rFonts w:ascii="Times New Roman" w:hAnsi="Times New Roman"/>
          <w:sz w:val="28"/>
          <w:szCs w:val="28"/>
        </w:rPr>
        <w:t xml:space="preserve"> сельсовет</w:t>
      </w:r>
      <w:r w:rsidR="00D7401A">
        <w:rPr>
          <w:rFonts w:ascii="Times New Roman" w:hAnsi="Times New Roman"/>
          <w:sz w:val="28"/>
          <w:szCs w:val="28"/>
        </w:rPr>
        <w:t>а</w:t>
      </w:r>
      <w:r w:rsidR="00FD4B8C">
        <w:rPr>
          <w:rFonts w:ascii="Times New Roman" w:hAnsi="Times New Roman"/>
          <w:sz w:val="28"/>
          <w:szCs w:val="28"/>
        </w:rPr>
        <w:t xml:space="preserve"> </w:t>
      </w:r>
      <w:r w:rsidR="00FD4B8C" w:rsidRPr="00FD4B8C">
        <w:rPr>
          <w:rFonts w:ascii="Times New Roman" w:hAnsi="Times New Roman"/>
          <w:sz w:val="28"/>
          <w:szCs w:val="28"/>
        </w:rPr>
        <w:t>Каменского района Алтайского края за 202</w:t>
      </w:r>
      <w:r w:rsidR="00561E6B">
        <w:rPr>
          <w:rFonts w:ascii="Times New Roman" w:hAnsi="Times New Roman"/>
          <w:sz w:val="28"/>
          <w:szCs w:val="28"/>
        </w:rPr>
        <w:t>4</w:t>
      </w:r>
      <w:r w:rsidR="00D7401A">
        <w:rPr>
          <w:rFonts w:ascii="Times New Roman" w:hAnsi="Times New Roman"/>
          <w:sz w:val="28"/>
          <w:szCs w:val="28"/>
        </w:rPr>
        <w:t xml:space="preserve"> </w:t>
      </w:r>
      <w:r w:rsidR="00694706">
        <w:rPr>
          <w:rFonts w:ascii="Times New Roman" w:hAnsi="Times New Roman"/>
          <w:sz w:val="28"/>
          <w:szCs w:val="28"/>
        </w:rPr>
        <w:t>год»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D7401A">
      <w:pPr>
        <w:tabs>
          <w:tab w:val="center" w:pos="4677"/>
          <w:tab w:val="left" w:pos="5976"/>
        </w:tabs>
        <w:spacing w:before="2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</w:t>
      </w:r>
      <w:r w:rsidR="00D7401A">
        <w:rPr>
          <w:rFonts w:ascii="Times New Roman" w:hAnsi="Times New Roman"/>
          <w:sz w:val="28"/>
          <w:szCs w:val="28"/>
        </w:rPr>
        <w:t xml:space="preserve">    с 17.03.2025 по 17.03.2025 </w:t>
      </w:r>
      <w:r w:rsidRPr="002557E2">
        <w:rPr>
          <w:rFonts w:ascii="Times New Roman" w:hAnsi="Times New Roman"/>
          <w:sz w:val="28"/>
          <w:szCs w:val="28"/>
        </w:rPr>
        <w:t>год</w:t>
      </w:r>
      <w:r w:rsidR="008B4675">
        <w:rPr>
          <w:rFonts w:ascii="Times New Roman" w:hAnsi="Times New Roman"/>
          <w:sz w:val="28"/>
          <w:szCs w:val="28"/>
        </w:rPr>
        <w:t>а</w:t>
      </w:r>
      <w:r w:rsidRPr="002557E2">
        <w:rPr>
          <w:rFonts w:ascii="Times New Roman" w:hAnsi="Times New Roman"/>
          <w:sz w:val="28"/>
          <w:szCs w:val="28"/>
        </w:rPr>
        <w:t>.</w:t>
      </w:r>
    </w:p>
    <w:p w:rsidR="004D32CC" w:rsidRPr="004D32CC" w:rsidRDefault="002557E2" w:rsidP="00D7401A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D7401A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D7401A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169E4F92" wp14:editId="525F4AF6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>210923@</w:t>
      </w:r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AE62F0" w:rsidRPr="00AE62F0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D9507C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55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7178B1" w:rsidRPr="007178B1" w:rsidRDefault="00EC0E69" w:rsidP="00717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78B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9507C">
        <w:rPr>
          <w:rFonts w:ascii="Times New Roman" w:hAnsi="Times New Roman"/>
          <w:sz w:val="28"/>
          <w:szCs w:val="28"/>
        </w:rPr>
        <w:t>Л.А. Скоробогатовой</w:t>
      </w:r>
    </w:p>
    <w:p w:rsidR="004D32CC" w:rsidRPr="005E2343" w:rsidRDefault="004D32CC" w:rsidP="00A93AFF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178B1" w:rsidRDefault="00AE4E92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507C">
        <w:rPr>
          <w:rFonts w:ascii="Times New Roman" w:hAnsi="Times New Roman"/>
          <w:sz w:val="28"/>
          <w:szCs w:val="28"/>
        </w:rPr>
        <w:t>С.А. Янковой</w:t>
      </w:r>
    </w:p>
    <w:p w:rsidR="007178B1" w:rsidRDefault="007178B1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ED4" w:rsidRDefault="00551ED4" w:rsidP="00551ED4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B5089E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51ED4" w:rsidRPr="00551ED4">
        <w:rPr>
          <w:rFonts w:ascii="Times New Roman" w:hAnsi="Times New Roman"/>
          <w:b/>
          <w:sz w:val="28"/>
          <w:szCs w:val="28"/>
        </w:rPr>
        <w:t>о результатам внешней</w:t>
      </w:r>
      <w:r w:rsidR="004B73FD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551ED4" w:rsidRPr="00551ED4">
        <w:rPr>
          <w:rFonts w:ascii="Times New Roman" w:hAnsi="Times New Roman"/>
          <w:b/>
          <w:sz w:val="28"/>
          <w:szCs w:val="28"/>
        </w:rPr>
        <w:t xml:space="preserve"> </w:t>
      </w:r>
      <w:r w:rsidR="004B73FD" w:rsidRPr="004B73FD">
        <w:rPr>
          <w:rFonts w:ascii="Times New Roman" w:hAnsi="Times New Roman"/>
          <w:b/>
          <w:sz w:val="28"/>
          <w:szCs w:val="28"/>
        </w:rPr>
        <w:t>проекта решения Плотниковского сельского Совета депутатов  Каменского района Алтайского края «Об исполнении  бюджета муниципального образования Плотниковского сельсовета Каменского района Алтайского края за 202</w:t>
      </w:r>
      <w:r w:rsidR="00561E6B">
        <w:rPr>
          <w:rFonts w:ascii="Times New Roman" w:hAnsi="Times New Roman"/>
          <w:b/>
          <w:sz w:val="28"/>
          <w:szCs w:val="28"/>
        </w:rPr>
        <w:t>4</w:t>
      </w:r>
      <w:r w:rsidR="004B73FD" w:rsidRPr="004B73FD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F20CB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9A5656">
        <w:rPr>
          <w:rFonts w:ascii="Times New Roman" w:hAnsi="Times New Roman"/>
          <w:sz w:val="28"/>
          <w:szCs w:val="28"/>
        </w:rPr>
        <w:t xml:space="preserve"> № 6-ФЗ </w:t>
      </w:r>
      <w:r w:rsidR="009A5656" w:rsidRPr="009A5656">
        <w:rPr>
          <w:rFonts w:ascii="Times New Roman" w:hAnsi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DB3506" w:rsidRPr="00DB3506">
        <w:rPr>
          <w:rFonts w:ascii="Times New Roman" w:hAnsi="Times New Roman"/>
          <w:sz w:val="28"/>
          <w:szCs w:val="28"/>
        </w:rPr>
        <w:t xml:space="preserve">; </w:t>
      </w:r>
      <w:r w:rsidR="004B73FD" w:rsidRPr="004B73FD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Плотниковский сельсовет Каменского района Алтайского края, утвержденного решением Плотниковского сельского Совета депутатов Каменского района Алтайского края от 23.12.2021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</w:t>
      </w:r>
      <w:r w:rsidR="004B73FD">
        <w:rPr>
          <w:rFonts w:ascii="Times New Roman" w:hAnsi="Times New Roman"/>
          <w:sz w:val="28"/>
          <w:szCs w:val="28"/>
        </w:rPr>
        <w:t>3.1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>лана работы Контрольно-счетной палаты  Каменского района Алтайского края на 202</w:t>
      </w:r>
      <w:r w:rsidR="004B73FD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год, утвержденного распоряжением Контрольно-счетной платы Каменского района Алтайского края </w:t>
      </w:r>
      <w:r w:rsidR="004B73FD">
        <w:rPr>
          <w:rFonts w:ascii="Times New Roman" w:hAnsi="Times New Roman"/>
          <w:sz w:val="28"/>
          <w:szCs w:val="28"/>
        </w:rPr>
        <w:t xml:space="preserve">от </w:t>
      </w:r>
      <w:r w:rsidR="004B73FD" w:rsidRPr="004B73FD">
        <w:rPr>
          <w:rFonts w:ascii="Times New Roman" w:hAnsi="Times New Roman"/>
          <w:sz w:val="28"/>
          <w:szCs w:val="28"/>
        </w:rPr>
        <w:t>18.12.2024 № 172(с изменениями от 29.01.2025 №104)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4B73FD">
        <w:rPr>
          <w:rFonts w:ascii="Times New Roman" w:hAnsi="Times New Roman"/>
          <w:sz w:val="28"/>
          <w:szCs w:val="28"/>
        </w:rPr>
        <w:t>17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4B73FD">
        <w:rPr>
          <w:rFonts w:ascii="Times New Roman" w:hAnsi="Times New Roman"/>
          <w:sz w:val="28"/>
          <w:szCs w:val="28"/>
        </w:rPr>
        <w:t>03</w:t>
      </w:r>
      <w:r w:rsidR="00DB3506" w:rsidRPr="00DB3506">
        <w:rPr>
          <w:rFonts w:ascii="Times New Roman" w:hAnsi="Times New Roman"/>
          <w:sz w:val="28"/>
          <w:szCs w:val="28"/>
        </w:rPr>
        <w:t>.202</w:t>
      </w:r>
      <w:r w:rsidR="004B73FD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4B73FD">
        <w:rPr>
          <w:rFonts w:ascii="Times New Roman" w:hAnsi="Times New Roman"/>
          <w:sz w:val="28"/>
          <w:szCs w:val="28"/>
        </w:rPr>
        <w:t xml:space="preserve"> </w:t>
      </w:r>
      <w:r w:rsidR="009A5656">
        <w:rPr>
          <w:rFonts w:ascii="Times New Roman" w:hAnsi="Times New Roman"/>
          <w:sz w:val="28"/>
          <w:szCs w:val="28"/>
        </w:rPr>
        <w:t>27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BC6C8A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3F20CB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4B73FD">
        <w:rPr>
          <w:rFonts w:ascii="Times New Roman" w:hAnsi="Times New Roman"/>
          <w:sz w:val="28"/>
          <w:szCs w:val="28"/>
        </w:rPr>
        <w:t>проект</w:t>
      </w:r>
      <w:r w:rsidR="004B73FD" w:rsidRPr="004B73FD">
        <w:rPr>
          <w:rFonts w:ascii="Times New Roman" w:hAnsi="Times New Roman"/>
          <w:sz w:val="28"/>
          <w:szCs w:val="28"/>
        </w:rPr>
        <w:t xml:space="preserve"> решения Плотниковского сельского Совета депутатов  Каменского района Алтайского края «Об исполнении  бюджета муниципального образования Плотниковского сельсовета Каменского района Алтайского края за 202</w:t>
      </w:r>
      <w:r w:rsidR="00256FF9">
        <w:rPr>
          <w:rFonts w:ascii="Times New Roman" w:hAnsi="Times New Roman"/>
          <w:sz w:val="28"/>
          <w:szCs w:val="28"/>
        </w:rPr>
        <w:t>4</w:t>
      </w:r>
      <w:r w:rsidR="004B73FD" w:rsidRPr="004B73FD">
        <w:rPr>
          <w:rFonts w:ascii="Times New Roman" w:hAnsi="Times New Roman"/>
          <w:sz w:val="28"/>
          <w:szCs w:val="28"/>
        </w:rPr>
        <w:t xml:space="preserve"> год»</w:t>
      </w:r>
      <w:r w:rsidR="00BC6C8A">
        <w:rPr>
          <w:rFonts w:ascii="Times New Roman" w:hAnsi="Times New Roman"/>
          <w:sz w:val="28"/>
          <w:szCs w:val="28"/>
        </w:rPr>
        <w:t>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 xml:space="preserve">Цель </w:t>
      </w:r>
      <w:r w:rsidR="003F20CB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 xml:space="preserve">Объект </w:t>
      </w:r>
      <w:r w:rsidR="00777943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 w:rsidR="004B73FD">
        <w:rPr>
          <w:rFonts w:ascii="Times New Roman" w:hAnsi="Times New Roman"/>
          <w:sz w:val="28"/>
          <w:szCs w:val="28"/>
        </w:rPr>
        <w:t xml:space="preserve">Плотниковский </w:t>
      </w:r>
      <w:r w:rsidRPr="00161F94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2024 год.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777943">
        <w:rPr>
          <w:rFonts w:ascii="Times New Roman" w:hAnsi="Times New Roman"/>
          <w:b/>
          <w:sz w:val="28"/>
          <w:szCs w:val="28"/>
        </w:rPr>
        <w:t>внешней проверки</w:t>
      </w:r>
      <w:r w:rsidR="00161F94" w:rsidRPr="00161F94">
        <w:rPr>
          <w:rFonts w:ascii="Times New Roman" w:hAnsi="Times New Roman"/>
          <w:b/>
          <w:sz w:val="28"/>
          <w:szCs w:val="28"/>
        </w:rPr>
        <w:t>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4B73FD">
        <w:rPr>
          <w:rFonts w:ascii="Times New Roman" w:hAnsi="Times New Roman"/>
          <w:sz w:val="28"/>
          <w:szCs w:val="28"/>
        </w:rPr>
        <w:t>17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4B73FD">
        <w:rPr>
          <w:rFonts w:ascii="Times New Roman" w:hAnsi="Times New Roman"/>
          <w:sz w:val="28"/>
          <w:szCs w:val="28"/>
        </w:rPr>
        <w:t>марта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>202</w:t>
      </w:r>
      <w:r w:rsidR="004B73FD">
        <w:rPr>
          <w:rFonts w:ascii="Times New Roman" w:hAnsi="Times New Roman"/>
          <w:sz w:val="28"/>
          <w:szCs w:val="28"/>
        </w:rPr>
        <w:t>5</w:t>
      </w:r>
      <w:r w:rsidR="00161F94" w:rsidRPr="00161F94">
        <w:rPr>
          <w:rFonts w:ascii="Times New Roman" w:hAnsi="Times New Roman"/>
          <w:sz w:val="28"/>
          <w:szCs w:val="28"/>
        </w:rPr>
        <w:t xml:space="preserve"> года по </w:t>
      </w:r>
      <w:r w:rsidR="004B73FD">
        <w:rPr>
          <w:rFonts w:ascii="Times New Roman" w:hAnsi="Times New Roman"/>
          <w:sz w:val="28"/>
          <w:szCs w:val="28"/>
        </w:rPr>
        <w:t>17 марта</w:t>
      </w:r>
      <w:r w:rsidR="00777943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>202</w:t>
      </w:r>
      <w:r w:rsidR="004B73FD">
        <w:rPr>
          <w:rFonts w:ascii="Times New Roman" w:hAnsi="Times New Roman"/>
          <w:sz w:val="28"/>
          <w:szCs w:val="28"/>
        </w:rPr>
        <w:t>5</w:t>
      </w:r>
      <w:r w:rsidR="00161F94" w:rsidRPr="00161F94">
        <w:rPr>
          <w:rFonts w:ascii="Times New Roman" w:hAnsi="Times New Roman"/>
          <w:sz w:val="28"/>
          <w:szCs w:val="28"/>
        </w:rPr>
        <w:t xml:space="preserve">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4E19F4">
        <w:rPr>
          <w:rFonts w:ascii="Times New Roman" w:hAnsi="Times New Roman"/>
          <w:b/>
          <w:sz w:val="28"/>
          <w:szCs w:val="28"/>
        </w:rPr>
        <w:t>внешней проверки</w:t>
      </w:r>
      <w:r w:rsidRPr="008E5206">
        <w:rPr>
          <w:rFonts w:ascii="Times New Roman" w:hAnsi="Times New Roman"/>
          <w:b/>
          <w:sz w:val="28"/>
          <w:szCs w:val="28"/>
        </w:rPr>
        <w:t>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80380E">
        <w:rPr>
          <w:rFonts w:ascii="Times New Roman" w:hAnsi="Times New Roman"/>
          <w:sz w:val="28"/>
          <w:szCs w:val="28"/>
        </w:rPr>
        <w:t>Плотниковского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</w:t>
      </w:r>
      <w:r w:rsidR="0080380E" w:rsidRPr="0080380E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Плотниковский сельсовет Каменского района Алтайского края, утвержденного решением от 23.12.2021 № 26</w:t>
      </w:r>
      <w:r w:rsidR="007046F0">
        <w:rPr>
          <w:rFonts w:ascii="Times New Roman" w:hAnsi="Times New Roman"/>
          <w:sz w:val="28"/>
          <w:szCs w:val="28"/>
        </w:rPr>
        <w:t>.</w:t>
      </w: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938A1">
        <w:rPr>
          <w:rFonts w:ascii="Times New Roman" w:hAnsi="Times New Roman"/>
          <w:sz w:val="28"/>
          <w:szCs w:val="28"/>
        </w:rPr>
        <w:t>Проект</w:t>
      </w:r>
      <w:r w:rsidR="004938A1" w:rsidRPr="004938A1">
        <w:rPr>
          <w:rFonts w:ascii="Times New Roman" w:hAnsi="Times New Roman"/>
          <w:sz w:val="28"/>
          <w:szCs w:val="28"/>
        </w:rPr>
        <w:t xml:space="preserve"> решения Плотниковского сельского Совета депутатов  Каменского района Алтайского края «Об исполнении  бюджета муниципального образования Плотниковского сельсовета Каменского района Алтайского края за 202</w:t>
      </w:r>
      <w:r w:rsidR="00256FF9">
        <w:rPr>
          <w:rFonts w:ascii="Times New Roman" w:hAnsi="Times New Roman"/>
          <w:sz w:val="28"/>
          <w:szCs w:val="28"/>
        </w:rPr>
        <w:t>4</w:t>
      </w:r>
      <w:r w:rsidR="004938A1" w:rsidRPr="004938A1">
        <w:rPr>
          <w:rFonts w:ascii="Times New Roman" w:hAnsi="Times New Roman"/>
          <w:sz w:val="28"/>
          <w:szCs w:val="28"/>
        </w:rPr>
        <w:t xml:space="preserve"> год»</w:t>
      </w:r>
      <w:r w:rsidR="00BC6C8A">
        <w:rPr>
          <w:rFonts w:ascii="Times New Roman" w:hAnsi="Times New Roman"/>
          <w:sz w:val="28"/>
          <w:szCs w:val="28"/>
        </w:rPr>
        <w:t xml:space="preserve"> </w:t>
      </w:r>
      <w:r w:rsidR="004938A1">
        <w:rPr>
          <w:rFonts w:ascii="Times New Roman" w:hAnsi="Times New Roman"/>
          <w:sz w:val="28"/>
          <w:szCs w:val="28"/>
        </w:rPr>
        <w:t>передан</w:t>
      </w:r>
      <w:r w:rsidR="001E2164" w:rsidRPr="001A5411">
        <w:rPr>
          <w:rFonts w:ascii="Times New Roman" w:hAnsi="Times New Roman"/>
          <w:sz w:val="28"/>
          <w:szCs w:val="28"/>
        </w:rPr>
        <w:t xml:space="preserve"> в контрольно-счетную палату для </w:t>
      </w:r>
      <w:r w:rsidR="004E19F4">
        <w:rPr>
          <w:rFonts w:ascii="Times New Roman" w:hAnsi="Times New Roman"/>
          <w:sz w:val="28"/>
          <w:szCs w:val="28"/>
        </w:rPr>
        <w:t>внешней проверки</w:t>
      </w:r>
      <w:r w:rsidR="007046F0">
        <w:rPr>
          <w:rFonts w:ascii="Times New Roman" w:hAnsi="Times New Roman"/>
          <w:sz w:val="28"/>
          <w:szCs w:val="28"/>
        </w:rPr>
        <w:t>.</w:t>
      </w:r>
      <w:r w:rsidR="001E2164" w:rsidRPr="001A5411">
        <w:rPr>
          <w:rFonts w:ascii="Times New Roman" w:hAnsi="Times New Roman"/>
          <w:sz w:val="28"/>
          <w:szCs w:val="28"/>
        </w:rPr>
        <w:t xml:space="preserve"> Вместе с </w:t>
      </w:r>
      <w:r w:rsidR="004938A1">
        <w:rPr>
          <w:rFonts w:ascii="Times New Roman" w:hAnsi="Times New Roman"/>
          <w:sz w:val="28"/>
          <w:szCs w:val="28"/>
        </w:rPr>
        <w:t>проектом решения</w:t>
      </w:r>
      <w:r w:rsidR="001E2164" w:rsidRPr="001A5411">
        <w:rPr>
          <w:rFonts w:ascii="Times New Roman" w:hAnsi="Times New Roman"/>
          <w:sz w:val="28"/>
          <w:szCs w:val="28"/>
        </w:rPr>
        <w:t xml:space="preserve"> представлены следующие документы:</w:t>
      </w:r>
    </w:p>
    <w:p w:rsidR="00EF34F9" w:rsidRPr="00EF34F9" w:rsidRDefault="00EF34F9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 w:rsidRPr="00EF34F9">
        <w:rPr>
          <w:rFonts w:ascii="Times New Roman" w:hAnsi="Times New Roman"/>
          <w:sz w:val="28"/>
          <w:szCs w:val="28"/>
        </w:rPr>
        <w:t>Отчет об исполнении бюджета (форма 0503117)</w:t>
      </w:r>
    </w:p>
    <w:p w:rsidR="00EF34F9" w:rsidRDefault="001358E6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 w:rsidRPr="00EF34F9">
        <w:rPr>
          <w:rFonts w:ascii="Times New Roman" w:hAnsi="Times New Roman"/>
          <w:sz w:val="28"/>
          <w:szCs w:val="28"/>
        </w:rPr>
        <w:t xml:space="preserve"> </w:t>
      </w:r>
      <w:r w:rsidR="00EF34F9">
        <w:rPr>
          <w:rFonts w:ascii="Times New Roman" w:hAnsi="Times New Roman"/>
          <w:sz w:val="28"/>
          <w:szCs w:val="28"/>
        </w:rPr>
        <w:t>Баланс об исполнении бюджета (форма 0503120)</w:t>
      </w:r>
    </w:p>
    <w:p w:rsidR="00EF34F9" w:rsidRDefault="00EF34F9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финансовых результатах деятельности (форма 0503121)</w:t>
      </w:r>
    </w:p>
    <w:p w:rsidR="00EF34F9" w:rsidRDefault="00EF34F9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движении денежных средств (форма 0503123)</w:t>
      </w:r>
    </w:p>
    <w:p w:rsidR="00EF34F9" w:rsidRDefault="00EF34F9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по заключению сетов бюджетного учета отчетного финансового года (форма 0503110)</w:t>
      </w:r>
    </w:p>
    <w:p w:rsidR="00EF34F9" w:rsidRDefault="00EF34F9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кассовом поступлении  и выбытии бюджетных средств (форма 0503124)</w:t>
      </w:r>
    </w:p>
    <w:p w:rsidR="00EF34F9" w:rsidRDefault="00EF34F9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по консолидируемым расчетам (форма 0503125)</w:t>
      </w:r>
    </w:p>
    <w:p w:rsidR="00EF34F9" w:rsidRDefault="00EF34F9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по поступлениям и выбытиям (форма 0503140)</w:t>
      </w:r>
    </w:p>
    <w:p w:rsidR="008421C1" w:rsidRDefault="00EF34F9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(форма 0503160), в составе пояснительной записки формы 0503161, 0503164, 0503166, </w:t>
      </w:r>
      <w:r w:rsidRPr="00EF34F9">
        <w:rPr>
          <w:rFonts w:ascii="Times New Roman" w:hAnsi="Times New Roman"/>
          <w:sz w:val="28"/>
          <w:szCs w:val="28"/>
        </w:rPr>
        <w:t xml:space="preserve">0503175 </w:t>
      </w:r>
      <w:r>
        <w:rPr>
          <w:rFonts w:ascii="Times New Roman" w:hAnsi="Times New Roman"/>
          <w:sz w:val="28"/>
          <w:szCs w:val="28"/>
        </w:rPr>
        <w:t xml:space="preserve"> (не предусмотрены отчетом), 0503168, 0503169, 0503171, 0503172, 0503173, 0503174,</w:t>
      </w:r>
      <w:r w:rsidR="008421C1">
        <w:rPr>
          <w:rFonts w:ascii="Times New Roman" w:hAnsi="Times New Roman"/>
          <w:sz w:val="28"/>
          <w:szCs w:val="28"/>
        </w:rPr>
        <w:t>0503178,</w:t>
      </w:r>
      <w:r>
        <w:rPr>
          <w:rFonts w:ascii="Times New Roman" w:hAnsi="Times New Roman"/>
          <w:sz w:val="28"/>
          <w:szCs w:val="28"/>
        </w:rPr>
        <w:t xml:space="preserve"> 0</w:t>
      </w:r>
      <w:r w:rsidR="008421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03190, 0503296 (не содержит показателей)</w:t>
      </w:r>
      <w:r w:rsidR="001358E6" w:rsidRPr="00EF34F9">
        <w:rPr>
          <w:rFonts w:ascii="Times New Roman" w:hAnsi="Times New Roman"/>
          <w:sz w:val="28"/>
          <w:szCs w:val="28"/>
        </w:rPr>
        <w:t xml:space="preserve">    </w:t>
      </w:r>
    </w:p>
    <w:p w:rsidR="008421C1" w:rsidRDefault="008421C1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 о бюджетных обязательствах (форма 0503128) отчетом не </w:t>
      </w:r>
      <w:r w:rsidR="001358E6" w:rsidRPr="00EF34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предусмотрено</w:t>
      </w:r>
      <w:r w:rsidR="001358E6" w:rsidRPr="00EF34F9">
        <w:rPr>
          <w:rFonts w:ascii="Times New Roman" w:hAnsi="Times New Roman"/>
          <w:sz w:val="28"/>
          <w:szCs w:val="28"/>
        </w:rPr>
        <w:t xml:space="preserve"> </w:t>
      </w:r>
    </w:p>
    <w:p w:rsidR="00C53B80" w:rsidRDefault="008421C1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 об использовании межбюджетных трансфертов  из бюджета субъектов РФ </w:t>
      </w:r>
    </w:p>
    <w:p w:rsidR="00C53B80" w:rsidRDefault="00C53B80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Оборотно-сальдовая ведомость за 2024 год</w:t>
      </w:r>
    </w:p>
    <w:p w:rsidR="001358E6" w:rsidRDefault="001358E6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 w:rsidRPr="00EF34F9">
        <w:rPr>
          <w:rFonts w:ascii="Times New Roman" w:hAnsi="Times New Roman"/>
          <w:sz w:val="28"/>
          <w:szCs w:val="28"/>
        </w:rPr>
        <w:t xml:space="preserve"> </w:t>
      </w:r>
      <w:r w:rsidR="00C53B80">
        <w:rPr>
          <w:rFonts w:ascii="Times New Roman" w:hAnsi="Times New Roman"/>
          <w:sz w:val="28"/>
          <w:szCs w:val="28"/>
        </w:rPr>
        <w:t>Главная книга за 2024 год (в электронном виде)</w:t>
      </w:r>
    </w:p>
    <w:p w:rsidR="00C53B80" w:rsidRDefault="00C53B80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Сводная бюджетная роспись по состоянию на 1 января и 31 декабря  отчетного финансового года</w:t>
      </w:r>
    </w:p>
    <w:p w:rsidR="00C53B80" w:rsidRDefault="00C53B80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Решение о внесении изменений в бюджет сельского поселения от 24.12.2024</w:t>
      </w:r>
    </w:p>
    <w:p w:rsidR="00C53B80" w:rsidRPr="00EF34F9" w:rsidRDefault="00C53B80" w:rsidP="00EF34F9">
      <w:pPr>
        <w:pStyle w:val="ae"/>
        <w:numPr>
          <w:ilvl w:val="0"/>
          <w:numId w:val="6"/>
        </w:numPr>
        <w:tabs>
          <w:tab w:val="left" w:pos="709"/>
          <w:tab w:val="left" w:pos="851"/>
        </w:tabs>
        <w:spacing w:before="12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 решения об исполнении бюджета за 2024 год с приложениями.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C53B80">
        <w:rPr>
          <w:rFonts w:ascii="Times New Roman" w:hAnsi="Times New Roman"/>
          <w:b/>
          <w:sz w:val="28"/>
          <w:szCs w:val="28"/>
        </w:rPr>
        <w:t>Плотниковского</w:t>
      </w:r>
      <w:r w:rsidR="007046F0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C6C8A" w:rsidRDefault="00F42A32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7046F0">
        <w:rPr>
          <w:rFonts w:ascii="Times New Roman" w:hAnsi="Times New Roman"/>
          <w:sz w:val="28"/>
          <w:szCs w:val="28"/>
          <w:lang w:eastAsia="ru-RU"/>
        </w:rPr>
        <w:t>Р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ешением </w:t>
      </w:r>
      <w:r w:rsidR="00C53B80">
        <w:rPr>
          <w:rFonts w:ascii="Times New Roman" w:hAnsi="Times New Roman"/>
          <w:sz w:val="28"/>
          <w:szCs w:val="28"/>
          <w:lang w:eastAsia="ru-RU"/>
        </w:rPr>
        <w:t>Плотниковского</w:t>
      </w:r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7046F0">
        <w:rPr>
          <w:rFonts w:ascii="Times New Roman" w:hAnsi="Times New Roman"/>
          <w:sz w:val="28"/>
          <w:szCs w:val="28"/>
          <w:lang w:eastAsia="ru-RU"/>
        </w:rPr>
        <w:t>5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C4319">
        <w:rPr>
          <w:rFonts w:ascii="Times New Roman" w:hAnsi="Times New Roman"/>
          <w:sz w:val="28"/>
          <w:szCs w:val="28"/>
          <w:lang w:eastAsia="ru-RU"/>
        </w:rPr>
        <w:t>23</w:t>
      </w:r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C53B80">
        <w:rPr>
          <w:rFonts w:ascii="Times New Roman" w:hAnsi="Times New Roman"/>
          <w:sz w:val="28"/>
          <w:szCs w:val="28"/>
          <w:lang w:eastAsia="ru-RU"/>
        </w:rPr>
        <w:t xml:space="preserve">Плотниковский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сельсовет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 на 2024 год и на плановый период 2025 и 2026 годов»</w:t>
      </w:r>
      <w:r w:rsidR="00BC6C8A">
        <w:rPr>
          <w:rFonts w:ascii="Times New Roman" w:hAnsi="Times New Roman"/>
          <w:sz w:val="28"/>
          <w:szCs w:val="28"/>
          <w:lang w:eastAsia="ru-RU"/>
        </w:rPr>
        <w:t xml:space="preserve"> (с учетом изменений)</w:t>
      </w:r>
      <w:r w:rsidR="00CC4319">
        <w:rPr>
          <w:rFonts w:ascii="Times New Roman" w:hAnsi="Times New Roman"/>
          <w:sz w:val="28"/>
          <w:szCs w:val="28"/>
          <w:lang w:eastAsia="ru-RU"/>
        </w:rPr>
        <w:t xml:space="preserve"> утверждены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C4319" w:rsidRPr="00CC4319" w:rsidRDefault="00BC6C8A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>доход</w:t>
      </w:r>
      <w:r w:rsidR="00CC4319">
        <w:rPr>
          <w:rFonts w:ascii="Times New Roman" w:hAnsi="Times New Roman"/>
          <w:sz w:val="28"/>
          <w:szCs w:val="28"/>
          <w:lang w:eastAsia="ru-RU"/>
        </w:rPr>
        <w:t>ы</w:t>
      </w:r>
      <w:r w:rsidR="000003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в сумме </w:t>
      </w:r>
      <w:r w:rsidR="00C53B80">
        <w:rPr>
          <w:rFonts w:ascii="Times New Roman" w:hAnsi="Times New Roman"/>
          <w:b/>
          <w:sz w:val="28"/>
          <w:szCs w:val="28"/>
          <w:lang w:eastAsia="ru-RU"/>
        </w:rPr>
        <w:t>4448,5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объем межбюджетных трансфертов, получаемых из других бюджетов, в сумме </w:t>
      </w:r>
      <w:r w:rsidR="00C53B80">
        <w:rPr>
          <w:rFonts w:ascii="Times New Roman" w:hAnsi="Times New Roman"/>
          <w:b/>
          <w:sz w:val="28"/>
          <w:szCs w:val="28"/>
          <w:lang w:eastAsia="ru-RU"/>
        </w:rPr>
        <w:t>2878,2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CC4319" w:rsidRPr="00CC4319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C53B80">
        <w:rPr>
          <w:rFonts w:ascii="Times New Roman" w:hAnsi="Times New Roman"/>
          <w:b/>
          <w:sz w:val="28"/>
          <w:szCs w:val="28"/>
          <w:lang w:eastAsia="ru-RU"/>
        </w:rPr>
        <w:t>4668,4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CC4319" w:rsidRPr="00CC4319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 xml:space="preserve">3) верхний  предел  муниципального  долга  по состоянию на 1 января 2025 года в  сумме </w:t>
      </w:r>
      <w:r w:rsidRPr="007C0BDF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в сумме </w:t>
      </w:r>
      <w:r w:rsidRPr="007C0BDF">
        <w:rPr>
          <w:rFonts w:ascii="Times New Roman" w:hAnsi="Times New Roman"/>
          <w:b/>
          <w:sz w:val="28"/>
          <w:szCs w:val="28"/>
          <w:lang w:eastAsia="ru-RU"/>
        </w:rPr>
        <w:t>0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E711A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 xml:space="preserve">4) дефицит бюджета сельского поселения в сумме </w:t>
      </w:r>
      <w:r w:rsidR="00C53B80">
        <w:rPr>
          <w:rFonts w:ascii="Times New Roman" w:hAnsi="Times New Roman"/>
          <w:b/>
          <w:sz w:val="28"/>
          <w:szCs w:val="28"/>
          <w:lang w:eastAsia="ru-RU"/>
        </w:rPr>
        <w:t>219,9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>Фактические показатели исполнения бюджета поселения за 2024 год, согласно данным отчетности, составили: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2B7ED8">
        <w:rPr>
          <w:rFonts w:ascii="Times New Roman" w:hAnsi="Times New Roman"/>
          <w:b/>
          <w:sz w:val="28"/>
          <w:szCs w:val="28"/>
          <w:lang w:eastAsia="ru-RU"/>
        </w:rPr>
        <w:t>4468,1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B4895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2B7ED8">
        <w:rPr>
          <w:rFonts w:ascii="Times New Roman" w:hAnsi="Times New Roman"/>
          <w:b/>
          <w:sz w:val="28"/>
          <w:szCs w:val="28"/>
          <w:lang w:eastAsia="ru-RU"/>
        </w:rPr>
        <w:t>100,4</w:t>
      </w:r>
      <w:r w:rsidR="00BB4895">
        <w:rPr>
          <w:rFonts w:ascii="Times New Roman" w:hAnsi="Times New Roman"/>
          <w:sz w:val="28"/>
          <w:szCs w:val="28"/>
          <w:lang w:eastAsia="ru-RU"/>
        </w:rPr>
        <w:t>%.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2B7ED8">
        <w:rPr>
          <w:rFonts w:ascii="Times New Roman" w:hAnsi="Times New Roman"/>
          <w:b/>
          <w:sz w:val="28"/>
          <w:szCs w:val="28"/>
          <w:lang w:eastAsia="ru-RU"/>
        </w:rPr>
        <w:t>4665,1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0034F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2B7ED8">
        <w:rPr>
          <w:rFonts w:ascii="Times New Roman" w:hAnsi="Times New Roman"/>
          <w:b/>
          <w:sz w:val="28"/>
          <w:szCs w:val="28"/>
          <w:lang w:eastAsia="ru-RU"/>
        </w:rPr>
        <w:t>99,9</w:t>
      </w:r>
      <w:r w:rsidR="0000034F">
        <w:rPr>
          <w:rFonts w:ascii="Times New Roman" w:hAnsi="Times New Roman"/>
          <w:sz w:val="28"/>
          <w:szCs w:val="28"/>
          <w:lang w:eastAsia="ru-RU"/>
        </w:rPr>
        <w:t>%.</w:t>
      </w:r>
    </w:p>
    <w:p w:rsidR="00BB4895" w:rsidRDefault="00BB4895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895" w:rsidRPr="002E2608" w:rsidRDefault="00BB4895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B4895">
        <w:rPr>
          <w:rFonts w:ascii="Times New Roman" w:hAnsi="Times New Roman"/>
          <w:sz w:val="28"/>
          <w:szCs w:val="28"/>
          <w:lang w:eastAsia="ru-RU"/>
        </w:rPr>
        <w:t xml:space="preserve">о исполнению бюджета поселения сложился </w:t>
      </w:r>
      <w:r w:rsidRPr="00262EA4">
        <w:rPr>
          <w:rFonts w:ascii="Times New Roman" w:hAnsi="Times New Roman"/>
          <w:b/>
          <w:sz w:val="28"/>
          <w:szCs w:val="28"/>
          <w:lang w:eastAsia="ru-RU"/>
        </w:rPr>
        <w:t>дефицит</w:t>
      </w:r>
      <w:r w:rsidRPr="00BB4895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2B7ED8">
        <w:rPr>
          <w:rFonts w:ascii="Times New Roman" w:hAnsi="Times New Roman"/>
          <w:b/>
          <w:sz w:val="28"/>
          <w:szCs w:val="28"/>
          <w:lang w:eastAsia="ru-RU"/>
        </w:rPr>
        <w:t>197,0</w:t>
      </w:r>
      <w:r w:rsidRPr="00BB489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2024 год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08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49"/>
        <w:gridCol w:w="1701"/>
        <w:gridCol w:w="1701"/>
        <w:gridCol w:w="1418"/>
        <w:gridCol w:w="1417"/>
      </w:tblGrid>
      <w:tr w:rsidR="00556C4E" w:rsidRPr="002A409D" w:rsidTr="00556C4E">
        <w:trPr>
          <w:trHeight w:val="792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E2608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556C4E" w:rsidRPr="002A409D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C51941" w:rsidP="00471E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Действующее </w:t>
            </w:r>
            <w:r w:rsidR="00556C4E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Решение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262EA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исполнение.2024г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471EF1" w:rsidP="00C12A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 исполнения</w:t>
            </w:r>
            <w:r w:rsidR="00556C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F97FE8" w:rsidRDefault="00556C4E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56C4E" w:rsidRPr="00F97FE8" w:rsidRDefault="00556C4E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E31A77" w:rsidRDefault="00556C4E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471EF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4448,5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A409D" w:rsidRDefault="00471EF1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4468,1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471EF1" w:rsidP="00C12A8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+19,6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2A409D" w:rsidRDefault="00471EF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100,4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471EF1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4668,4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A409D" w:rsidRDefault="00471EF1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471EF1" w:rsidP="00C12A8E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56C4E" w:rsidRPr="002A409D" w:rsidRDefault="00471EF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99,9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471EF1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71EF1">
              <w:rPr>
                <w:rFonts w:ascii="Times New Roman" w:hAnsi="Times New Roman"/>
                <w:b/>
                <w:sz w:val="16"/>
                <w:szCs w:val="16"/>
              </w:rPr>
              <w:t>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4A2986" w:rsidP="00471EF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471EF1">
              <w:rPr>
                <w:rFonts w:ascii="Times New Roman" w:hAnsi="Times New Roman"/>
                <w:b/>
                <w:sz w:val="16"/>
                <w:szCs w:val="16"/>
              </w:rPr>
              <w:t>197,0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56C4E" w:rsidRPr="002A409D" w:rsidRDefault="00556C4E" w:rsidP="007D025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556C4E" w:rsidRPr="002A409D" w:rsidRDefault="00556C4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F42">
        <w:rPr>
          <w:rFonts w:ascii="Times New Roman" w:hAnsi="Times New Roman"/>
          <w:b/>
          <w:sz w:val="24"/>
          <w:szCs w:val="24"/>
        </w:rPr>
        <w:t>2.</w:t>
      </w:r>
      <w:r w:rsidRPr="00366B89">
        <w:rPr>
          <w:rFonts w:ascii="Times New Roman" w:hAnsi="Times New Roman"/>
          <w:b/>
          <w:sz w:val="28"/>
          <w:szCs w:val="28"/>
        </w:rPr>
        <w:t>Анализ исполнения доходной части бюджета поселения</w:t>
      </w: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6B89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6B89">
        <w:rPr>
          <w:rFonts w:ascii="Times New Roman" w:hAnsi="Times New Roman"/>
          <w:sz w:val="28"/>
          <w:szCs w:val="28"/>
        </w:rPr>
        <w:t xml:space="preserve">Доходная часть бюджета формировалась за счет налоговых и неналоговых доходов, безвозмездных поступлений от других бюджетов </w:t>
      </w:r>
      <w:r w:rsidRPr="00366B89">
        <w:rPr>
          <w:rFonts w:ascii="Times New Roman" w:hAnsi="Times New Roman"/>
          <w:sz w:val="28"/>
          <w:szCs w:val="28"/>
        </w:rPr>
        <w:lastRenderedPageBreak/>
        <w:t>бюджетной системы РФ в соответствии со статьей 232 Бюджетного кодекса Российской Федерации.</w:t>
      </w: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2024 год по доходам составило </w:t>
      </w:r>
      <w:r w:rsidR="004C5D52">
        <w:rPr>
          <w:rFonts w:ascii="Times New Roman" w:eastAsia="Times New Roman" w:hAnsi="Times New Roman"/>
          <w:b/>
          <w:sz w:val="28"/>
          <w:szCs w:val="28"/>
          <w:lang w:eastAsia="ru-RU"/>
        </w:rPr>
        <w:t>4468,1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4C5D52">
        <w:rPr>
          <w:rFonts w:ascii="Times New Roman" w:eastAsia="Times New Roman" w:hAnsi="Times New Roman"/>
          <w:b/>
          <w:sz w:val="28"/>
          <w:szCs w:val="28"/>
          <w:lang w:eastAsia="ru-RU"/>
        </w:rPr>
        <w:t>100,4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годового плана.</w:t>
      </w: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2A1E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37FF4">
        <w:rPr>
          <w:rFonts w:ascii="Times New Roman" w:eastAsia="Times New Roman" w:hAnsi="Times New Roman"/>
          <w:sz w:val="28"/>
          <w:szCs w:val="28"/>
          <w:lang w:eastAsia="ru-RU"/>
        </w:rPr>
        <w:t>1198,1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2A1E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5D52">
        <w:rPr>
          <w:rFonts w:ascii="Times New Roman" w:eastAsia="Times New Roman" w:hAnsi="Times New Roman"/>
          <w:sz w:val="28"/>
          <w:szCs w:val="28"/>
          <w:lang w:eastAsia="ru-RU"/>
        </w:rPr>
        <w:t>101,2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налоговых поступлений представлена в диаграмме №1</w:t>
      </w:r>
    </w:p>
    <w:p w:rsidR="00A50E6C" w:rsidRDefault="00A50E6C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7551C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1718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8B" w:rsidRPr="006C114B" w:rsidRDefault="00CA2D8B" w:rsidP="00FC47EB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CA2D8B" w:rsidRPr="00FC47EB" w:rsidRDefault="00864D0B" w:rsidP="00864D0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A2D8B" w:rsidRPr="00FC47EB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CA2D8B" w:rsidRPr="00FC47EB" w:rsidRDefault="00CA2D8B" w:rsidP="00864D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при плане 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>1179,0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год поступили в бюджет поселения в объеме -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>1198,1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(или 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>101,2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CA2D8B" w:rsidRPr="00FC47EB" w:rsidRDefault="00CA2D8B" w:rsidP="00864D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>В 2024 год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в сумме налоговых поступлений занимает</w:t>
      </w:r>
      <w:r w:rsidR="00FC47EB">
        <w:t xml:space="preserve">: 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налог - исполнение составило 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 xml:space="preserve">942,3 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>101,8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>926,0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алог на доходы физических лиц – исполнение составило 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>92,4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>106,2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>87,0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сельскохозяйственный налог - исполнение составило 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 xml:space="preserve"> 3,3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64D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FA7585">
        <w:rPr>
          <w:rFonts w:ascii="Times New Roman" w:eastAsia="Times New Roman" w:hAnsi="Times New Roman"/>
          <w:sz w:val="28"/>
          <w:szCs w:val="28"/>
          <w:lang w:eastAsia="ru-RU"/>
        </w:rPr>
        <w:t>391,8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FA7585">
        <w:rPr>
          <w:rFonts w:ascii="Times New Roman" w:eastAsia="Times New Roman" w:hAnsi="Times New Roman"/>
          <w:sz w:val="28"/>
          <w:szCs w:val="28"/>
          <w:lang w:eastAsia="ru-RU"/>
        </w:rPr>
        <w:t>100,1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7585">
        <w:rPr>
          <w:rFonts w:ascii="Times New Roman" w:eastAsia="Times New Roman" w:hAnsi="Times New Roman"/>
          <w:sz w:val="28"/>
          <w:szCs w:val="28"/>
          <w:lang w:eastAsia="ru-RU"/>
        </w:rPr>
        <w:t>391,4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неналоговых поступлений представлена в диаграмме №2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F33" w:rsidRPr="00C45040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неналоговых доходов</w:t>
      </w:r>
    </w:p>
    <w:p w:rsidR="006C114B" w:rsidRPr="00660E7B" w:rsidRDefault="006C114B" w:rsidP="00660E7B">
      <w:pPr>
        <w:spacing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6C114B" w:rsidRPr="00660E7B" w:rsidRDefault="006C114B" w:rsidP="00660E7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 при плане на 2024 год в сумме 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>391,4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поступили в сумме 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>391,8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>100,1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>%).  В 2024 год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в сумме неналоговых поступлений (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>89,4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%) занимают 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«Прочие неналоговые доходы» 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>350,4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твержденных бюджетных назначений </w:t>
      </w:r>
      <w:r w:rsidR="00417E86">
        <w:rPr>
          <w:rFonts w:ascii="Times New Roman" w:eastAsia="Times New Roman" w:hAnsi="Times New Roman"/>
          <w:sz w:val="28"/>
          <w:szCs w:val="28"/>
          <w:lang w:eastAsia="ru-RU"/>
        </w:rPr>
        <w:t>350,4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6C114B" w:rsidRDefault="006C114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Pr="00B633DA" w:rsidRDefault="00B633DA" w:rsidP="006C114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B224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3F33">
        <w:rPr>
          <w:rFonts w:ascii="Times New Roman" w:eastAsia="Times New Roman" w:hAnsi="Times New Roman"/>
          <w:sz w:val="28"/>
          <w:szCs w:val="28"/>
          <w:lang w:eastAsia="ru-RU"/>
        </w:rPr>
        <w:t>субвенций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бюджетной системы Российской Федерации;</w:t>
      </w:r>
    </w:p>
    <w:p w:rsid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 w:rsidR="00550953">
        <w:rPr>
          <w:rFonts w:ascii="Times New Roman" w:eastAsia="Times New Roman" w:hAnsi="Times New Roman"/>
          <w:sz w:val="28"/>
          <w:szCs w:val="28"/>
          <w:lang w:eastAsia="ru-RU"/>
        </w:rPr>
        <w:t>ой системы Российской Федерации;</w:t>
      </w:r>
    </w:p>
    <w:p w:rsidR="00550953" w:rsidRDefault="00550953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-субсидии бюджетам бюджетной системы</w:t>
      </w:r>
      <w:r w:rsidR="00657673">
        <w:rPr>
          <w:rFonts w:ascii="Times New Roman" w:eastAsia="Times New Roman" w:hAnsi="Times New Roman"/>
          <w:sz w:val="28"/>
          <w:szCs w:val="28"/>
          <w:lang w:eastAsia="ru-RU"/>
        </w:rPr>
        <w:t xml:space="preserve"> РФ;</w:t>
      </w:r>
    </w:p>
    <w:p w:rsidR="00657673" w:rsidRDefault="00657673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прочие безвозмездные поступления;</w:t>
      </w:r>
    </w:p>
    <w:p w:rsidR="00657673" w:rsidRPr="00B633DA" w:rsidRDefault="00657673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-безвозмездные поступления от негосударственных организаций.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 xml:space="preserve">Бюджетные назначения на </w:t>
            </w: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D01702" w:rsidRDefault="00256FF9" w:rsidP="00657673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Исполнено за 2024 год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D01702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D01702" w:rsidRDefault="00B633DA" w:rsidP="00B633DA">
            <w:pPr>
              <w:contextualSpacing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D01702" w:rsidRDefault="0065767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2878,2</w:t>
            </w:r>
          </w:p>
        </w:tc>
        <w:tc>
          <w:tcPr>
            <w:tcW w:w="1556" w:type="dxa"/>
            <w:vAlign w:val="center"/>
          </w:tcPr>
          <w:p w:rsidR="00B633DA" w:rsidRPr="00D01702" w:rsidRDefault="00657673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2878,2</w:t>
            </w:r>
          </w:p>
        </w:tc>
        <w:tc>
          <w:tcPr>
            <w:tcW w:w="956" w:type="dxa"/>
            <w:vAlign w:val="center"/>
          </w:tcPr>
          <w:p w:rsidR="00B633DA" w:rsidRPr="00D01702" w:rsidRDefault="00657673" w:rsidP="00D01702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b/>
                <w:lang w:eastAsia="ru-RU"/>
              </w:rPr>
              <w:t>100</w:t>
            </w:r>
            <w:r w:rsidR="000F4CEE" w:rsidRPr="00D01702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D01702" w:rsidRDefault="00025878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D01702" w:rsidRDefault="00D0170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56,2</w:t>
            </w:r>
          </w:p>
        </w:tc>
        <w:tc>
          <w:tcPr>
            <w:tcW w:w="1556" w:type="dxa"/>
            <w:vAlign w:val="center"/>
          </w:tcPr>
          <w:p w:rsidR="00B633DA" w:rsidRPr="00D01702" w:rsidRDefault="00D0170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56,2</w:t>
            </w:r>
          </w:p>
        </w:tc>
        <w:tc>
          <w:tcPr>
            <w:tcW w:w="956" w:type="dxa"/>
            <w:vAlign w:val="center"/>
          </w:tcPr>
          <w:p w:rsidR="00B633DA" w:rsidRPr="00D01702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D01702" w:rsidTr="00025878">
        <w:tc>
          <w:tcPr>
            <w:tcW w:w="5192" w:type="dxa"/>
            <w:vAlign w:val="center"/>
          </w:tcPr>
          <w:p w:rsidR="00D01702" w:rsidRPr="00D01702" w:rsidRDefault="002509B2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2509B2">
              <w:rPr>
                <w:rFonts w:ascii="Times New Roman" w:eastAsia="Times New Roman" w:hAnsi="Times New Roman"/>
                <w:lang w:eastAsia="ru-RU"/>
              </w:rPr>
              <w:t>убсидии бюджетам бюджетной системы РФ</w:t>
            </w:r>
          </w:p>
        </w:tc>
        <w:tc>
          <w:tcPr>
            <w:tcW w:w="1726" w:type="dxa"/>
            <w:vAlign w:val="center"/>
          </w:tcPr>
          <w:p w:rsid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1300,0</w:t>
            </w:r>
          </w:p>
        </w:tc>
        <w:tc>
          <w:tcPr>
            <w:tcW w:w="1556" w:type="dxa"/>
            <w:vAlign w:val="center"/>
          </w:tcPr>
          <w:p w:rsid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1300,0</w:t>
            </w:r>
          </w:p>
        </w:tc>
        <w:tc>
          <w:tcPr>
            <w:tcW w:w="956" w:type="dxa"/>
            <w:vAlign w:val="center"/>
          </w:tcPr>
          <w:p w:rsidR="00D01702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D01702" w:rsidRDefault="00025878" w:rsidP="00BA6441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153,1</w:t>
            </w:r>
          </w:p>
        </w:tc>
        <w:tc>
          <w:tcPr>
            <w:tcW w:w="1556" w:type="dxa"/>
            <w:vAlign w:val="center"/>
          </w:tcPr>
          <w:p w:rsidR="00B633DA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153,1</w:t>
            </w:r>
          </w:p>
        </w:tc>
        <w:tc>
          <w:tcPr>
            <w:tcW w:w="956" w:type="dxa"/>
            <w:vAlign w:val="center"/>
          </w:tcPr>
          <w:p w:rsidR="00B633DA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146174" w:rsidRPr="00D0170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D01702" w:rsidRDefault="002509B2" w:rsidP="00B633DA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</w:t>
            </w:r>
            <w:r w:rsidR="007403D5">
              <w:rPr>
                <w:rFonts w:ascii="Times New Roman" w:eastAsia="Times New Roman" w:hAnsi="Times New Roman"/>
                <w:lang w:eastAsia="ru-RU"/>
              </w:rPr>
              <w:t xml:space="preserve">ые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межбюджетные трансферты</w:t>
            </w:r>
          </w:p>
        </w:tc>
        <w:tc>
          <w:tcPr>
            <w:tcW w:w="1726" w:type="dxa"/>
            <w:vAlign w:val="center"/>
          </w:tcPr>
          <w:p w:rsidR="00B633DA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1134,9</w:t>
            </w:r>
          </w:p>
        </w:tc>
        <w:tc>
          <w:tcPr>
            <w:tcW w:w="1556" w:type="dxa"/>
            <w:vAlign w:val="center"/>
          </w:tcPr>
          <w:p w:rsidR="00B633DA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1134,9</w:t>
            </w:r>
          </w:p>
        </w:tc>
        <w:tc>
          <w:tcPr>
            <w:tcW w:w="956" w:type="dxa"/>
            <w:vAlign w:val="center"/>
          </w:tcPr>
          <w:p w:rsidR="00B633DA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  <w:r w:rsidR="00146174" w:rsidRPr="00D0170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B95298" w:rsidTr="00025878">
        <w:tc>
          <w:tcPr>
            <w:tcW w:w="5192" w:type="dxa"/>
            <w:vAlign w:val="bottom"/>
          </w:tcPr>
          <w:p w:rsidR="00B95298" w:rsidRPr="00D01702" w:rsidRDefault="002509B2" w:rsidP="00F8273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 w:rsidRPr="002509B2">
              <w:rPr>
                <w:rFonts w:ascii="Times New Roman" w:eastAsia="Times New Roman" w:hAnsi="Times New Roman"/>
                <w:lang w:eastAsia="ru-RU"/>
              </w:rPr>
              <w:t>езвозмездные поступления от негосударственных организаций</w:t>
            </w:r>
          </w:p>
        </w:tc>
        <w:tc>
          <w:tcPr>
            <w:tcW w:w="1726" w:type="dxa"/>
            <w:vAlign w:val="center"/>
          </w:tcPr>
          <w:p w:rsidR="00B95298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205,0</w:t>
            </w:r>
            <w:r w:rsidR="00DA3F33" w:rsidRPr="00D0170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56" w:type="dxa"/>
            <w:vAlign w:val="center"/>
          </w:tcPr>
          <w:p w:rsidR="00B95298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205</w:t>
            </w:r>
            <w:r w:rsidR="00D2754C" w:rsidRPr="00D01702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56" w:type="dxa"/>
            <w:vAlign w:val="center"/>
          </w:tcPr>
          <w:p w:rsidR="00B95298" w:rsidRPr="00D01702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702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2509B2" w:rsidTr="00025878">
        <w:tc>
          <w:tcPr>
            <w:tcW w:w="5192" w:type="dxa"/>
            <w:vAlign w:val="bottom"/>
          </w:tcPr>
          <w:p w:rsidR="002509B2" w:rsidRDefault="002509B2" w:rsidP="00F82736">
            <w:pPr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726" w:type="dxa"/>
            <w:vAlign w:val="center"/>
          </w:tcPr>
          <w:p w:rsidR="002509B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29,0</w:t>
            </w:r>
          </w:p>
        </w:tc>
        <w:tc>
          <w:tcPr>
            <w:tcW w:w="1556" w:type="dxa"/>
            <w:vAlign w:val="center"/>
          </w:tcPr>
          <w:p w:rsidR="002509B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29,0</w:t>
            </w:r>
          </w:p>
        </w:tc>
        <w:tc>
          <w:tcPr>
            <w:tcW w:w="956" w:type="dxa"/>
            <w:vAlign w:val="center"/>
          </w:tcPr>
          <w:p w:rsidR="002509B2" w:rsidRPr="00D01702" w:rsidRDefault="002509B2" w:rsidP="00B633DA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</w:tbl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6C114B" w:rsidRPr="00C84AB1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при плане на 2024 год </w:t>
      </w:r>
      <w:r w:rsidR="00457D73">
        <w:rPr>
          <w:rFonts w:ascii="Times New Roman" w:eastAsia="Times New Roman" w:hAnsi="Times New Roman"/>
          <w:sz w:val="28"/>
          <w:szCs w:val="28"/>
          <w:lang w:eastAsia="ru-RU"/>
        </w:rPr>
        <w:t>2878,2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поступили в сумме </w:t>
      </w:r>
      <w:r w:rsidR="00457D73">
        <w:rPr>
          <w:rFonts w:ascii="Times New Roman" w:eastAsia="Times New Roman" w:hAnsi="Times New Roman"/>
          <w:sz w:val="28"/>
          <w:szCs w:val="28"/>
          <w:lang w:eastAsia="ru-RU"/>
        </w:rPr>
        <w:t>2878,2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тыс. рублей (</w:t>
      </w:r>
      <w:r w:rsidR="00457D73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33584B" w:rsidRPr="00C84AB1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</w:t>
      </w:r>
      <w:r w:rsidR="00457D7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(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39,4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%) в сумме безвозмездных поступлений занимают прочие 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403D5" w:rsidRPr="007403D5">
        <w:rPr>
          <w:rFonts w:ascii="Times New Roman" w:eastAsia="Times New Roman" w:hAnsi="Times New Roman"/>
          <w:sz w:val="28"/>
          <w:szCs w:val="28"/>
          <w:lang w:eastAsia="ru-RU"/>
        </w:rPr>
        <w:t>Иные  межбюджетные трансферты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03D5" w:rsidRPr="00740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1134,9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утвержденных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назначений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403D5" w:rsidRPr="007403D5">
        <w:rPr>
          <w:rFonts w:ascii="Times New Roman" w:eastAsia="Times New Roman" w:hAnsi="Times New Roman"/>
          <w:sz w:val="28"/>
          <w:szCs w:val="28"/>
          <w:lang w:eastAsia="ru-RU"/>
        </w:rPr>
        <w:t>Субсидии бюджетам бюджетной системы РФ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403D5" w:rsidRPr="007403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 xml:space="preserve">1300,0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 от бюджетных назначений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03D5" w:rsidRPr="007403D5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от негосударственных организаций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05,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403D5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139,0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F13E45" w:rsidRDefault="007403D5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3D5">
        <w:rPr>
          <w:rFonts w:ascii="Times New Roman" w:eastAsia="Times New Roman" w:hAnsi="Times New Roman"/>
          <w:sz w:val="28"/>
          <w:szCs w:val="28"/>
          <w:lang w:eastAsia="ru-RU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="006C114B"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-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205,0</w:t>
      </w:r>
      <w:r w:rsidR="006C114B"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="006C114B" w:rsidRPr="00C84AB1">
        <w:rPr>
          <w:rFonts w:ascii="Times New Roman" w:eastAsia="Times New Roman" w:hAnsi="Times New Roman"/>
          <w:sz w:val="28"/>
          <w:szCs w:val="28"/>
          <w:lang w:eastAsia="ru-RU"/>
        </w:rPr>
        <w:t>% от у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твержденных</w:t>
      </w:r>
      <w:r w:rsidR="006C114B"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назначений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114B"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53E4" w:rsidRDefault="00A653E4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3E4">
        <w:rPr>
          <w:rFonts w:ascii="Times New Roman" w:eastAsia="Times New Roman" w:hAnsi="Times New Roman"/>
          <w:sz w:val="28"/>
          <w:szCs w:val="28"/>
          <w:lang w:eastAsia="ru-RU"/>
        </w:rPr>
        <w:t>Прочие безвозмездные поступления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100% при плане 29,0 тыс. </w:t>
      </w:r>
      <w:r w:rsidR="003904D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A653E4" w:rsidRPr="00C84AB1" w:rsidRDefault="00A653E4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2286" w:rsidRPr="00A22286" w:rsidRDefault="00A22286" w:rsidP="00A2228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налогового органа, дебиторская задолженность составляет </w:t>
      </w:r>
      <w:r w:rsidR="00A002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217,9 тыс. рублей, из них 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налогу на имущество физических лиц </w:t>
      </w:r>
      <w:r w:rsidR="00A002DD">
        <w:rPr>
          <w:rFonts w:ascii="Times New Roman" w:eastAsia="Times New Roman" w:hAnsi="Times New Roman"/>
          <w:sz w:val="28"/>
          <w:szCs w:val="28"/>
          <w:lang w:eastAsia="ru-RU"/>
        </w:rPr>
        <w:t>101,9 тыс.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в т.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>ч. просроченная  и земельному налогу  116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02DD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в т.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>ч. просроченная и отражена на счете 1.205.11.000 «Расчеты с плательщиками налоговых доходов».</w:t>
      </w:r>
    </w:p>
    <w:p w:rsidR="00A22286" w:rsidRPr="00A22286" w:rsidRDefault="00A22286" w:rsidP="00A2228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применения Федеральных стандартов бухгалтерского учета для организаций государственного сектора "Аренда", утвержденный приказом Минфина России от 31.12.2016 № 258н, далее – СГС "Аренда" или Стандарт, объекты учета операционной аренды возникли при передаче в аренду земель сельскохозяйственного назначения на небольшой срок (от нескольких месяцев до нескольких лет).</w:t>
      </w:r>
    </w:p>
    <w:p w:rsidR="00A22286" w:rsidRPr="00A22286" w:rsidRDefault="00A22286" w:rsidP="00A2228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>На счете 1.205.23.000 «Расчеты по доходам от платежей при пользовании природными ресурсами» числится дебиторская задолженность плательщиков за доходы, получаемые в виде арендной платы за земли, находящиеся в собственности сельских поселений в сумме 532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6FF9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в т.</w:t>
      </w:r>
      <w:r w:rsidR="00C602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ч. долгосрочная (ИП Зинченко Д.Ю.). </w:t>
      </w:r>
    </w:p>
    <w:p w:rsidR="00A22286" w:rsidRPr="00A22286" w:rsidRDefault="00A22286" w:rsidP="00A2228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счете 1.205.35.000 «Расчеты по условным арендным платежам»   числится сумма </w:t>
      </w:r>
      <w:r w:rsidR="00C60215">
        <w:rPr>
          <w:rFonts w:ascii="Times New Roman" w:eastAsia="Times New Roman" w:hAnsi="Times New Roman"/>
          <w:sz w:val="28"/>
          <w:szCs w:val="28"/>
          <w:lang w:eastAsia="ru-RU"/>
        </w:rPr>
        <w:t>0,8 тыс.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за возмещения коммунальных услуг ПАО «Сбербанк России» задолженность, срок оплаты которой не наступил, ожидается в I квартале 2025г.</w:t>
      </w:r>
    </w:p>
    <w:p w:rsidR="00A22286" w:rsidRPr="00A22286" w:rsidRDefault="00A22286" w:rsidP="00A22286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>На счете 1.205.51.000 отражены суммы начисленных дотаций и межбюджетных трансфертов на 2025-2027 года на сумму 2</w:t>
      </w:r>
      <w:r w:rsidR="00C6021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>848</w:t>
      </w:r>
      <w:r w:rsidR="00C60215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215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в 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proofErr w:type="gramStart"/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>долгосрочная</w:t>
      </w:r>
      <w:proofErr w:type="gramEnd"/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C6021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>747</w:t>
      </w:r>
      <w:r w:rsidR="00C602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0215">
        <w:rPr>
          <w:rFonts w:ascii="Times New Roman" w:eastAsia="Times New Roman" w:hAnsi="Times New Roman"/>
          <w:sz w:val="28"/>
          <w:szCs w:val="28"/>
          <w:lang w:eastAsia="ru-RU"/>
        </w:rPr>
        <w:t>8 тыс.</w:t>
      </w: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3C5768" w:rsidRDefault="00A22286" w:rsidP="00A2228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2286">
        <w:rPr>
          <w:rFonts w:ascii="Times New Roman" w:eastAsia="Times New Roman" w:hAnsi="Times New Roman"/>
          <w:sz w:val="28"/>
          <w:szCs w:val="28"/>
          <w:lang w:eastAsia="ru-RU"/>
        </w:rPr>
        <w:t>На счете 205.00.00 числящаяся долгосрочная задолженность это задолженность, начисленная в корреспонденции со счетом 401.40, доходы ожидаются в будущих периодах.</w:t>
      </w:r>
    </w:p>
    <w:p w:rsid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3C5768" w:rsidRPr="00B95298" w:rsidRDefault="003C576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 w:rsidR="009A511E">
        <w:rPr>
          <w:rStyle w:val="a7"/>
          <w:rFonts w:ascii="Times New Roman" w:hAnsi="Times New Roman"/>
          <w:sz w:val="28"/>
          <w:szCs w:val="28"/>
        </w:rPr>
        <w:t>р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 xml:space="preserve">ешением </w:t>
      </w:r>
      <w:r w:rsidR="00433493">
        <w:rPr>
          <w:rStyle w:val="a7"/>
          <w:rFonts w:ascii="Times New Roman" w:hAnsi="Times New Roman"/>
          <w:sz w:val="28"/>
          <w:szCs w:val="28"/>
        </w:rPr>
        <w:t>Плотниковского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25.12.2023 №23 «О бюджете муниципального образования </w:t>
      </w:r>
      <w:r w:rsidR="00433493">
        <w:rPr>
          <w:rStyle w:val="a7"/>
          <w:rFonts w:ascii="Times New Roman" w:hAnsi="Times New Roman"/>
          <w:sz w:val="28"/>
          <w:szCs w:val="28"/>
        </w:rPr>
        <w:t>Плотниковский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 (с учетом изменений) утверждены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назначения по расходам в сумме </w:t>
      </w:r>
      <w:r w:rsidR="003904D1">
        <w:rPr>
          <w:rFonts w:ascii="Times New Roman" w:eastAsia="Times New Roman" w:hAnsi="Times New Roman"/>
          <w:sz w:val="28"/>
          <w:szCs w:val="28"/>
          <w:lang w:eastAsia="ru-RU"/>
        </w:rPr>
        <w:t>4668,4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904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кассовое исполнение бюджета составило </w:t>
      </w:r>
      <w:r w:rsidR="003904D1">
        <w:rPr>
          <w:rFonts w:ascii="Times New Roman" w:eastAsia="Times New Roman" w:hAnsi="Times New Roman"/>
          <w:sz w:val="28"/>
          <w:szCs w:val="28"/>
          <w:lang w:eastAsia="ru-RU"/>
        </w:rPr>
        <w:t>46651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904D1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9A511E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3261D6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9A225A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4668,4</w:t>
            </w:r>
          </w:p>
        </w:tc>
        <w:tc>
          <w:tcPr>
            <w:tcW w:w="1701" w:type="dxa"/>
            <w:vAlign w:val="center"/>
          </w:tcPr>
          <w:p w:rsidR="003261D6" w:rsidRDefault="003261D6" w:rsidP="00326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3FD0" w:rsidRDefault="003261D6" w:rsidP="00326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4665,1</w:t>
            </w:r>
          </w:p>
          <w:p w:rsidR="003261D6" w:rsidRPr="00E0163D" w:rsidRDefault="003261D6" w:rsidP="003261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486A" w:rsidRPr="00E0163D" w:rsidRDefault="00AC474E" w:rsidP="003B72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-3,3</w:t>
            </w:r>
          </w:p>
        </w:tc>
        <w:tc>
          <w:tcPr>
            <w:tcW w:w="1843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3261D6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2206,6</w:t>
            </w:r>
          </w:p>
        </w:tc>
        <w:tc>
          <w:tcPr>
            <w:tcW w:w="1701" w:type="dxa"/>
            <w:vAlign w:val="center"/>
          </w:tcPr>
          <w:p w:rsidR="0097486A" w:rsidRPr="00E0163D" w:rsidRDefault="003261D6" w:rsidP="000F2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2204,4</w:t>
            </w:r>
          </w:p>
        </w:tc>
        <w:tc>
          <w:tcPr>
            <w:tcW w:w="1559" w:type="dxa"/>
            <w:vAlign w:val="center"/>
          </w:tcPr>
          <w:p w:rsidR="0097486A" w:rsidRPr="00E0163D" w:rsidRDefault="00AC474E" w:rsidP="003B72C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-2,2</w:t>
            </w:r>
          </w:p>
        </w:tc>
        <w:tc>
          <w:tcPr>
            <w:tcW w:w="1843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99,9</w:t>
            </w:r>
          </w:p>
        </w:tc>
      </w:tr>
      <w:tr w:rsidR="0097486A" w:rsidRPr="002A409D" w:rsidTr="00AC474E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AC474E" w:rsidP="00AC4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153,1</w:t>
            </w:r>
          </w:p>
        </w:tc>
        <w:tc>
          <w:tcPr>
            <w:tcW w:w="1701" w:type="dxa"/>
            <w:vAlign w:val="center"/>
          </w:tcPr>
          <w:p w:rsidR="0097486A" w:rsidRPr="00E0163D" w:rsidRDefault="00AC474E" w:rsidP="00AC47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153,1</w:t>
            </w:r>
          </w:p>
        </w:tc>
        <w:tc>
          <w:tcPr>
            <w:tcW w:w="1559" w:type="dxa"/>
            <w:vAlign w:val="center"/>
          </w:tcPr>
          <w:p w:rsidR="0097486A" w:rsidRPr="00E0163D" w:rsidRDefault="00AC474E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213,0</w:t>
            </w:r>
          </w:p>
        </w:tc>
        <w:tc>
          <w:tcPr>
            <w:tcW w:w="1701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213,0</w:t>
            </w:r>
          </w:p>
        </w:tc>
        <w:tc>
          <w:tcPr>
            <w:tcW w:w="1559" w:type="dxa"/>
            <w:vAlign w:val="center"/>
          </w:tcPr>
          <w:p w:rsidR="0097486A" w:rsidRPr="00E0163D" w:rsidRDefault="00AC474E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2062,2</w:t>
            </w:r>
          </w:p>
        </w:tc>
        <w:tc>
          <w:tcPr>
            <w:tcW w:w="1701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2062,2</w:t>
            </w:r>
          </w:p>
        </w:tc>
        <w:tc>
          <w:tcPr>
            <w:tcW w:w="1559" w:type="dxa"/>
            <w:vAlign w:val="center"/>
          </w:tcPr>
          <w:p w:rsidR="0097486A" w:rsidRPr="00E0163D" w:rsidRDefault="00AC474E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Культура, </w:t>
            </w: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26,7</w:t>
            </w:r>
          </w:p>
        </w:tc>
        <w:tc>
          <w:tcPr>
            <w:tcW w:w="1701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25,6</w:t>
            </w:r>
          </w:p>
        </w:tc>
        <w:tc>
          <w:tcPr>
            <w:tcW w:w="1559" w:type="dxa"/>
            <w:vAlign w:val="center"/>
          </w:tcPr>
          <w:p w:rsidR="0097486A" w:rsidRPr="00E0163D" w:rsidRDefault="00AC474E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-1,1</w:t>
            </w:r>
          </w:p>
        </w:tc>
        <w:tc>
          <w:tcPr>
            <w:tcW w:w="1843" w:type="dxa"/>
            <w:vAlign w:val="center"/>
          </w:tcPr>
          <w:p w:rsidR="0097486A" w:rsidRPr="00E0163D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95,9</w:t>
            </w:r>
          </w:p>
        </w:tc>
      </w:tr>
      <w:tr w:rsidR="00995237" w:rsidRPr="002A409D" w:rsidTr="00663201">
        <w:tc>
          <w:tcPr>
            <w:tcW w:w="2518" w:type="dxa"/>
            <w:vAlign w:val="center"/>
          </w:tcPr>
          <w:p w:rsidR="00995237" w:rsidRPr="00E0163D" w:rsidRDefault="00995237" w:rsidP="009748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23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Пенсионное обеспечение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95237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701" w:type="dxa"/>
            <w:vAlign w:val="center"/>
          </w:tcPr>
          <w:p w:rsidR="00995237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1559" w:type="dxa"/>
            <w:vAlign w:val="center"/>
          </w:tcPr>
          <w:p w:rsidR="00995237" w:rsidRPr="00E0163D" w:rsidRDefault="00AC474E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vAlign w:val="center"/>
          </w:tcPr>
          <w:p w:rsidR="00995237" w:rsidRDefault="00AC474E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</w:tbl>
    <w:p w:rsidR="005D2E73" w:rsidRPr="005D2E73" w:rsidRDefault="003E2D5D" w:rsidP="005D2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Основную долю в расхода</w:t>
      </w:r>
      <w:r w:rsidR="00BB30A8">
        <w:rPr>
          <w:rFonts w:ascii="Times New Roman" w:eastAsia="Times New Roman" w:hAnsi="Times New Roman"/>
          <w:sz w:val="28"/>
          <w:szCs w:val="28"/>
          <w:lang w:eastAsia="ru-RU"/>
        </w:rPr>
        <w:t>х бюджета поселения за 2024 год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«Общегосударственные вопросы» (</w:t>
      </w:r>
      <w:r w:rsidR="005D2E73">
        <w:rPr>
          <w:rFonts w:ascii="Times New Roman" w:eastAsia="Times New Roman" w:hAnsi="Times New Roman"/>
          <w:sz w:val="28"/>
          <w:szCs w:val="28"/>
          <w:lang w:eastAsia="ru-RU"/>
        </w:rPr>
        <w:t>47,3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%); на </w:t>
      </w:r>
      <w:r w:rsidR="005D2E7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Start"/>
      <w:r w:rsidR="005D2E73" w:rsidRPr="005D2E73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Жилищно-коммунальное</w:t>
      </w:r>
      <w:proofErr w:type="gramEnd"/>
    </w:p>
    <w:p w:rsidR="00203627" w:rsidRDefault="005D2E73" w:rsidP="005D2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E73">
        <w:rPr>
          <w:rFonts w:ascii="Times New Roman" w:eastAsia="Times New Roman" w:hAnsi="Times New Roman"/>
          <w:sz w:val="28"/>
          <w:szCs w:val="28"/>
          <w:lang w:eastAsia="ru-RU"/>
        </w:rPr>
        <w:t>Хозяйство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D2E73">
        <w:rPr>
          <w:rFonts w:ascii="Times New Roman" w:eastAsia="Times New Roman" w:hAnsi="Times New Roman"/>
          <w:sz w:val="28"/>
          <w:szCs w:val="28"/>
          <w:lang w:eastAsia="ru-RU"/>
        </w:rPr>
        <w:t xml:space="preserve"> 0500</w:t>
      </w:r>
      <w:r w:rsidR="003E2D5D"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44,2</w:t>
      </w:r>
      <w:r w:rsidR="003E2D5D"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3,3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BC518B" w:rsidRPr="005D16DD" w:rsidRDefault="00AC2523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данный момент исполнен на </w:t>
      </w:r>
      <w:r w:rsidR="005D2E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="005D2E73">
        <w:rPr>
          <w:rFonts w:ascii="Times New Roman" w:eastAsia="Times New Roman" w:hAnsi="Times New Roman"/>
          <w:sz w:val="28"/>
          <w:szCs w:val="28"/>
          <w:lang w:eastAsia="ru-RU"/>
        </w:rPr>
        <w:t>% от запланированных 4668,4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 Это означает, что фактически профинансировано </w:t>
      </w:r>
      <w:r w:rsidR="005D2E73">
        <w:rPr>
          <w:rFonts w:ascii="Times New Roman" w:eastAsia="Times New Roman" w:hAnsi="Times New Roman"/>
          <w:sz w:val="28"/>
          <w:szCs w:val="28"/>
          <w:lang w:eastAsia="ru-RU"/>
        </w:rPr>
        <w:t>4655,1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Данные о расходах по разделам и подразделам бюджета позволяют более детально изучить структуру расходования средств</w:t>
      </w:r>
      <w:r w:rsidR="00DB23C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b/>
          <w:sz w:val="28"/>
          <w:szCs w:val="28"/>
          <w:lang w:eastAsia="ru-RU"/>
        </w:rPr>
        <w:t>01 02 «Функционирование высшего должностного лица муниципального образования»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- 549,4 тыс. руб.: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главе сельсовета – 423,6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начисления на оплату труда – 125,8 тыс. руб.; 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b/>
          <w:sz w:val="28"/>
          <w:szCs w:val="28"/>
          <w:lang w:eastAsia="ru-RU"/>
        </w:rPr>
        <w:t>01       03  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-1,0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 на канцелярские принадлежности.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b/>
          <w:sz w:val="28"/>
          <w:szCs w:val="28"/>
          <w:lang w:eastAsia="ru-RU"/>
        </w:rPr>
        <w:t>01 04 «Функционирование Правительства РФ, высших исполнительных органов субъектов РФ, местных администраций»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- 675,8 тыс. руб.: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аппарата управления – 277,0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начисления на оплату труда – 81,3 тыс. руб.; 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услуги связи – 16,2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интернет – 24,0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транспортные услуги – 11,1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вывоз ТКО – 3,4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– 12,2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ТО пожарной сигнализации и заправка огнетушителей – 8,4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ОСАГО – 5,9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имущество и земельный налог – 4,5 тыс. руб.; 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транспортный налог – 5,0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негативка</w:t>
      </w:r>
      <w:proofErr w:type="spellEnd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– 8,1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бензин А-92, масло моторное – 100,5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хозяйственные и строительные материалы 4,7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- канцелярские принадлежности и запчасти к офисной техники – 31,9 </w:t>
      </w:r>
      <w:proofErr w:type="spellStart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основные средства 3,0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запчасти к автомобилю -7,4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уголь и дрова  - 71,2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b/>
          <w:sz w:val="28"/>
          <w:szCs w:val="28"/>
          <w:lang w:eastAsia="ru-RU"/>
        </w:rPr>
        <w:t>01 07 «Обеспечение проведения выборов и референдумов»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- 60,0 тыс. руб. на проведение дополнительных выборов депутатов сельсовета. 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01 13 «Другие общегосударственные вопросы»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- 918,2 тыс. руб.: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аппарата управления – 166,3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начисления на оплату труда – 50,2 тыс. руб.; 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вознаграждение хоз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группа договора ГПХ– 633,9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трансферты, перечисленные в район (на ЦБ) – 3,0 тыс. руб.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членские взносы по решению Ассоциации "Совет муниципальных образований Алтайского края" – 2,0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оформление земель и имущества – 53,0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публикация в газете – 4,2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хозяйственные и строительные материалы 5,6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02 03 «Мобилизационная и вневойсковая подготовка» - 153,1 тыс. руб.: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ВУС – 81,3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начисления на оплату труда ВУС – 23,7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штамп и бланочная продукция –8,9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системный блок – 39,2 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b/>
          <w:sz w:val="28"/>
          <w:szCs w:val="28"/>
          <w:lang w:eastAsia="ru-RU"/>
        </w:rPr>
        <w:t>04 09 «Дорожное хозяйство (дорожные фонды)»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- 213,0 тыс. руб.: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уборка снега на дорогах, относящихся к дорогам местного значения в с. Луговое, п. Калиновка, с. Плотниково – 167,5 тыс. руб.;</w:t>
      </w:r>
      <w:proofErr w:type="gramEnd"/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обкос</w:t>
      </w:r>
      <w:proofErr w:type="spellEnd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обочин дорог с. </w:t>
      </w:r>
      <w:proofErr w:type="gramStart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Луговое</w:t>
      </w:r>
      <w:proofErr w:type="gramEnd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– 20,0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отсыпка дорог шлаком - 25,5 тыс. руб.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EBB">
        <w:rPr>
          <w:rFonts w:ascii="Times New Roman" w:eastAsia="Times New Roman" w:hAnsi="Times New Roman"/>
          <w:b/>
          <w:sz w:val="28"/>
          <w:szCs w:val="28"/>
          <w:lang w:eastAsia="ru-RU"/>
        </w:rPr>
        <w:t>05 03 «Благоустройство»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- 2062,1 тыс. руб.: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ГСМ – 4,0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материалы и запчасти для триммера и бензопилы – 9,1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обкос</w:t>
      </w:r>
      <w:proofErr w:type="spellEnd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села - 3,3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монтаж уличного освещения по программе ППМИ – 1821,2 тыс. руб.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уборка и вывоз мусора 60,0 тыс.</w:t>
      </w:r>
      <w:r w:rsidR="00F84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- технологическое присоединение 164,5 </w:t>
      </w:r>
      <w:proofErr w:type="spellStart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EBB">
        <w:rPr>
          <w:rFonts w:ascii="Times New Roman" w:eastAsia="Times New Roman" w:hAnsi="Times New Roman"/>
          <w:b/>
          <w:sz w:val="28"/>
          <w:szCs w:val="28"/>
          <w:lang w:eastAsia="ru-RU"/>
        </w:rPr>
        <w:t>08 01 «Культура»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- 24,6 тыс. руб.: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сувениры – 6,6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прочие материалы 6,6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– 9,0 тыс. руб.;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>-  межбюджетные трансферты, перечисленные в район на культуру – 2,4 тыс. руб.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EBB">
        <w:rPr>
          <w:rFonts w:ascii="Times New Roman" w:eastAsia="Times New Roman" w:hAnsi="Times New Roman"/>
          <w:b/>
          <w:sz w:val="28"/>
          <w:szCs w:val="28"/>
          <w:lang w:eastAsia="ru-RU"/>
        </w:rPr>
        <w:t>08 04 «Другие вопросы в области культуры, кинематографии»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- 1,0 тыс. руб. (дотация, полученная из района на обустройство памятника).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EBB">
        <w:rPr>
          <w:rFonts w:ascii="Times New Roman" w:eastAsia="Times New Roman" w:hAnsi="Times New Roman"/>
          <w:b/>
          <w:sz w:val="28"/>
          <w:szCs w:val="28"/>
          <w:lang w:eastAsia="ru-RU"/>
        </w:rPr>
        <w:t>10 01 «Пенсионное обеспечение»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- 6,9 тыс. руб. (Социальная доплата к пенсии, отнесенная к публичным нормативным социальным выплатам гражданам).</w:t>
      </w: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2523" w:rsidRP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резервного фонда в </w:t>
      </w:r>
      <w:r w:rsidR="002E431A">
        <w:rPr>
          <w:rFonts w:ascii="Times New Roman" w:eastAsia="Times New Roman" w:hAnsi="Times New Roman"/>
          <w:sz w:val="28"/>
          <w:szCs w:val="28"/>
          <w:lang w:eastAsia="ru-RU"/>
        </w:rPr>
        <w:t>сумме 1,0 тыс. руб. за 2024 год</w:t>
      </w: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использованы.</w:t>
      </w:r>
    </w:p>
    <w:p w:rsidR="00AC2523" w:rsidRDefault="00AC2523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5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Верхний  предел  муниципального  долга  равен 0,00 т. рублей.</w:t>
      </w:r>
    </w:p>
    <w:p w:rsidR="00DF6BCB" w:rsidRDefault="00F84EBB" w:rsidP="00AC2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>В целом, анализируя расходы сельского поселения, можно заметить, что значительная часть средств направлена на заработную плату, начислени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заработную плату и содержание органов местного самоуправления. Отдельные разделы бюджета не имеют расходов, что может быть связано с не удовлетворением услови</w:t>
      </w:r>
      <w:r w:rsidR="00302C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финансирования. Важно отметить, что бюджет сельского поселения имеет дефицит, который составил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167,0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Это может быть связано с не полным выполнением плана доходов или с не предусмотренными затратами. Для устранения дефицита необходимо провести дополнительный анализ доходов и расходов и, при необходимости, принять меры по увеличению доходов или сокращению расходов.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4ABE" w:rsidRDefault="00864ABE" w:rsidP="00434F9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</w:t>
      </w:r>
      <w:r w:rsidR="00CB7B65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CB7B65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r w:rsidR="00433493">
        <w:rPr>
          <w:rFonts w:ascii="Times New Roman" w:hAnsi="Times New Roman"/>
          <w:sz w:val="28"/>
          <w:szCs w:val="28"/>
        </w:rPr>
        <w:t>Плотниковского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433493">
        <w:rPr>
          <w:rFonts w:ascii="Times New Roman" w:hAnsi="Times New Roman"/>
          <w:sz w:val="28"/>
          <w:szCs w:val="28"/>
        </w:rPr>
        <w:t>Плотниковский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F84EBB">
        <w:rPr>
          <w:rFonts w:ascii="Times New Roman" w:hAnsi="Times New Roman"/>
          <w:sz w:val="28"/>
          <w:szCs w:val="28"/>
        </w:rPr>
        <w:t>213,0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F84EBB">
        <w:rPr>
          <w:rFonts w:ascii="Times New Roman" w:hAnsi="Times New Roman"/>
          <w:sz w:val="28"/>
          <w:szCs w:val="28"/>
        </w:rPr>
        <w:t>2024 год</w:t>
      </w:r>
      <w:r w:rsidR="0050507B">
        <w:rPr>
          <w:rFonts w:ascii="Times New Roman" w:hAnsi="Times New Roman"/>
          <w:sz w:val="28"/>
          <w:szCs w:val="28"/>
        </w:rPr>
        <w:t xml:space="preserve"> бюджетных ассигнований дорожного фонда в сумме </w:t>
      </w:r>
      <w:r w:rsidR="00F84EBB">
        <w:rPr>
          <w:rFonts w:ascii="Times New Roman" w:hAnsi="Times New Roman"/>
          <w:sz w:val="28"/>
          <w:szCs w:val="28"/>
        </w:rPr>
        <w:t>213,0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F84EBB">
        <w:rPr>
          <w:rFonts w:ascii="Times New Roman" w:hAnsi="Times New Roman"/>
          <w:sz w:val="28"/>
          <w:szCs w:val="28"/>
        </w:rPr>
        <w:t>100,0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F84EBB">
        <w:rPr>
          <w:rFonts w:ascii="Times New Roman" w:hAnsi="Times New Roman"/>
          <w:sz w:val="28"/>
          <w:szCs w:val="28"/>
        </w:rPr>
        <w:t>01</w:t>
      </w:r>
      <w:r w:rsidRPr="0050507B">
        <w:rPr>
          <w:rFonts w:ascii="Times New Roman" w:hAnsi="Times New Roman"/>
          <w:sz w:val="28"/>
          <w:szCs w:val="28"/>
        </w:rPr>
        <w:t>.202</w:t>
      </w:r>
      <w:r w:rsidR="00F84EBB">
        <w:rPr>
          <w:rFonts w:ascii="Times New Roman" w:hAnsi="Times New Roman"/>
          <w:sz w:val="28"/>
          <w:szCs w:val="28"/>
        </w:rPr>
        <w:t>5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2E431A">
        <w:rPr>
          <w:rFonts w:ascii="Times New Roman" w:hAnsi="Times New Roman"/>
          <w:sz w:val="28"/>
          <w:szCs w:val="28"/>
        </w:rPr>
        <w:t>г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F84EBB">
        <w:rPr>
          <w:rFonts w:ascii="Times New Roman" w:hAnsi="Times New Roman"/>
          <w:sz w:val="28"/>
          <w:szCs w:val="28"/>
        </w:rPr>
        <w:t>0</w:t>
      </w:r>
      <w:r w:rsidR="00864ABE">
        <w:rPr>
          <w:rFonts w:ascii="Times New Roman" w:hAnsi="Times New Roman"/>
          <w:sz w:val="28"/>
          <w:szCs w:val="28"/>
        </w:rPr>
        <w:t>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</w:t>
      </w:r>
      <w:r w:rsidR="003F391A">
        <w:rPr>
          <w:rFonts w:ascii="Times New Roman" w:hAnsi="Times New Roman"/>
          <w:sz w:val="28"/>
          <w:szCs w:val="28"/>
        </w:rPr>
        <w:t>01</w:t>
      </w:r>
      <w:r w:rsidRPr="000E420C">
        <w:rPr>
          <w:rFonts w:ascii="Times New Roman" w:hAnsi="Times New Roman"/>
          <w:sz w:val="28"/>
          <w:szCs w:val="28"/>
        </w:rPr>
        <w:t>.202</w:t>
      </w:r>
      <w:r w:rsidR="003F391A">
        <w:rPr>
          <w:rFonts w:ascii="Times New Roman" w:hAnsi="Times New Roman"/>
          <w:sz w:val="28"/>
          <w:szCs w:val="28"/>
        </w:rPr>
        <w:t>5</w:t>
      </w:r>
      <w:r w:rsidRPr="000E420C">
        <w:rPr>
          <w:rFonts w:ascii="Times New Roman" w:hAnsi="Times New Roman"/>
          <w:sz w:val="28"/>
          <w:szCs w:val="28"/>
        </w:rPr>
        <w:t xml:space="preserve">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3F391A">
        <w:rPr>
          <w:rFonts w:ascii="Times New Roman" w:hAnsi="Times New Roman"/>
          <w:sz w:val="28"/>
          <w:szCs w:val="28"/>
        </w:rPr>
        <w:t>219,9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5017C4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3F391A">
        <w:rPr>
          <w:rFonts w:ascii="Times New Roman" w:hAnsi="Times New Roman"/>
          <w:sz w:val="28"/>
          <w:szCs w:val="28"/>
        </w:rPr>
        <w:t>197,0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  <w:r w:rsidR="003F391A">
        <w:rPr>
          <w:rFonts w:ascii="Times New Roman" w:hAnsi="Times New Roman"/>
          <w:sz w:val="28"/>
          <w:szCs w:val="28"/>
        </w:rPr>
        <w:t>Неисполненные назначения составили сумму 22,9 тыс. рублей.</w:t>
      </w:r>
    </w:p>
    <w:p w:rsidR="002B042A" w:rsidRDefault="002B042A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084680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E06E06" w:rsidRP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1. Представленный отчет об исполнении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202</w:t>
      </w:r>
      <w:r>
        <w:rPr>
          <w:rFonts w:ascii="Times New Roman" w:hAnsi="Times New Roman"/>
          <w:sz w:val="28"/>
          <w:szCs w:val="28"/>
        </w:rPr>
        <w:t>4</w:t>
      </w:r>
      <w:r w:rsidR="002E431A">
        <w:rPr>
          <w:rFonts w:ascii="Times New Roman" w:hAnsi="Times New Roman"/>
          <w:sz w:val="28"/>
          <w:szCs w:val="28"/>
        </w:rPr>
        <w:t xml:space="preserve"> год</w:t>
      </w:r>
      <w:r w:rsidRPr="00E06E06">
        <w:rPr>
          <w:rFonts w:ascii="Times New Roman" w:hAnsi="Times New Roman"/>
          <w:sz w:val="28"/>
          <w:szCs w:val="28"/>
        </w:rPr>
        <w:t xml:space="preserve"> </w:t>
      </w:r>
      <w:r w:rsidR="00322BB9">
        <w:rPr>
          <w:rFonts w:ascii="Times New Roman" w:hAnsi="Times New Roman"/>
          <w:sz w:val="28"/>
          <w:szCs w:val="28"/>
        </w:rPr>
        <w:t>представлен в</w:t>
      </w:r>
      <w:proofErr w:type="gramStart"/>
      <w:r w:rsidR="00322BB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22BB9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="00FA2796">
        <w:rPr>
          <w:rFonts w:ascii="Times New Roman" w:hAnsi="Times New Roman"/>
          <w:sz w:val="28"/>
          <w:szCs w:val="28"/>
        </w:rPr>
        <w:t>экспертизы</w:t>
      </w:r>
      <w:r w:rsidR="00322BB9">
        <w:rPr>
          <w:rFonts w:ascii="Times New Roman" w:hAnsi="Times New Roman"/>
          <w:sz w:val="28"/>
          <w:szCs w:val="28"/>
        </w:rPr>
        <w:t>, что соответствует части 5 статьи 264.2 Бюджетного кодекса российской Федерации.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2. </w:t>
      </w:r>
      <w:r w:rsidR="006205F3" w:rsidRPr="006205F3">
        <w:rPr>
          <w:rFonts w:ascii="Times New Roman" w:hAnsi="Times New Roman"/>
          <w:sz w:val="28"/>
          <w:szCs w:val="28"/>
        </w:rPr>
        <w:t>Исполнение бюджета поселения в 2024 год</w:t>
      </w:r>
      <w:r w:rsidR="003F391A">
        <w:rPr>
          <w:rFonts w:ascii="Times New Roman" w:hAnsi="Times New Roman"/>
          <w:sz w:val="28"/>
          <w:szCs w:val="28"/>
        </w:rPr>
        <w:t>у</w:t>
      </w:r>
      <w:r w:rsidR="006205F3" w:rsidRPr="006205F3">
        <w:rPr>
          <w:rFonts w:ascii="Times New Roman" w:hAnsi="Times New Roman"/>
          <w:sz w:val="28"/>
          <w:szCs w:val="28"/>
        </w:rPr>
        <w:t xml:space="preserve"> осуществлялось в соответствии с решением от 2</w:t>
      </w:r>
      <w:r w:rsidR="002B042A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2B042A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r w:rsidR="00433493">
        <w:rPr>
          <w:rFonts w:ascii="Times New Roman" w:hAnsi="Times New Roman"/>
          <w:sz w:val="28"/>
          <w:szCs w:val="28"/>
        </w:rPr>
        <w:t>Плотниковского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433493">
        <w:rPr>
          <w:rFonts w:ascii="Times New Roman" w:hAnsi="Times New Roman"/>
          <w:sz w:val="28"/>
          <w:szCs w:val="28"/>
        </w:rPr>
        <w:t>Плотниковский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6205F3">
        <w:rPr>
          <w:rFonts w:ascii="Times New Roman" w:hAnsi="Times New Roman"/>
          <w:sz w:val="28"/>
          <w:szCs w:val="28"/>
        </w:rPr>
        <w:t>.</w:t>
      </w:r>
    </w:p>
    <w:p w:rsidR="006205F3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6205F3">
        <w:rPr>
          <w:rFonts w:ascii="Times New Roman" w:hAnsi="Times New Roman"/>
          <w:sz w:val="28"/>
          <w:szCs w:val="28"/>
        </w:rPr>
        <w:t xml:space="preserve"> Поступление доходов за 2024</w:t>
      </w:r>
      <w:r w:rsidR="003F391A">
        <w:rPr>
          <w:rFonts w:ascii="Times New Roman" w:hAnsi="Times New Roman"/>
          <w:sz w:val="28"/>
          <w:szCs w:val="28"/>
        </w:rPr>
        <w:t xml:space="preserve"> год</w:t>
      </w:r>
      <w:r w:rsidR="006205F3">
        <w:rPr>
          <w:rFonts w:ascii="Times New Roman" w:hAnsi="Times New Roman"/>
          <w:sz w:val="28"/>
          <w:szCs w:val="28"/>
        </w:rPr>
        <w:t xml:space="preserve"> в бюджет поселения </w:t>
      </w:r>
      <w:r w:rsidR="00433493">
        <w:rPr>
          <w:rFonts w:ascii="Times New Roman" w:hAnsi="Times New Roman"/>
          <w:sz w:val="28"/>
          <w:szCs w:val="28"/>
        </w:rPr>
        <w:t>Плотниковского</w:t>
      </w:r>
      <w:r w:rsidR="006205F3">
        <w:rPr>
          <w:rFonts w:ascii="Times New Roman" w:hAnsi="Times New Roman"/>
          <w:sz w:val="28"/>
          <w:szCs w:val="28"/>
        </w:rPr>
        <w:t xml:space="preserve">  сельсовета выполнено на </w:t>
      </w:r>
      <w:r w:rsidR="003F391A">
        <w:rPr>
          <w:rFonts w:ascii="Times New Roman" w:hAnsi="Times New Roman"/>
          <w:sz w:val="28"/>
          <w:szCs w:val="28"/>
        </w:rPr>
        <w:t xml:space="preserve">100,1 </w:t>
      </w:r>
      <w:r w:rsidR="006205F3">
        <w:rPr>
          <w:rFonts w:ascii="Times New Roman" w:hAnsi="Times New Roman"/>
          <w:sz w:val="28"/>
          <w:szCs w:val="28"/>
        </w:rPr>
        <w:t>% по отношению к годовому плану.</w:t>
      </w:r>
    </w:p>
    <w:p w:rsidR="00E06E06" w:rsidRDefault="00E06E06" w:rsidP="007E1EAC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E06E06">
        <w:rPr>
          <w:rFonts w:ascii="Times New Roman" w:hAnsi="Times New Roman"/>
          <w:sz w:val="28"/>
          <w:szCs w:val="28"/>
        </w:rPr>
        <w:t xml:space="preserve">Расходы бюджета </w:t>
      </w:r>
      <w:r w:rsidR="007C5D5D">
        <w:rPr>
          <w:rFonts w:ascii="Times New Roman" w:hAnsi="Times New Roman"/>
          <w:sz w:val="28"/>
          <w:szCs w:val="28"/>
        </w:rPr>
        <w:t>сельского</w:t>
      </w:r>
      <w:r w:rsidRPr="00E06E06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561E6B">
        <w:rPr>
          <w:rFonts w:ascii="Times New Roman" w:hAnsi="Times New Roman"/>
          <w:sz w:val="28"/>
          <w:szCs w:val="28"/>
        </w:rPr>
        <w:t>4665,1</w:t>
      </w:r>
      <w:r w:rsidR="002B042A">
        <w:rPr>
          <w:rFonts w:ascii="Times New Roman" w:hAnsi="Times New Roman"/>
          <w:sz w:val="28"/>
          <w:szCs w:val="28"/>
        </w:rPr>
        <w:t xml:space="preserve"> </w:t>
      </w:r>
      <w:r w:rsidRPr="00E06E06">
        <w:rPr>
          <w:rFonts w:ascii="Times New Roman" w:hAnsi="Times New Roman"/>
          <w:sz w:val="28"/>
          <w:szCs w:val="28"/>
        </w:rPr>
        <w:t xml:space="preserve">тыс. рублей или </w:t>
      </w:r>
      <w:r w:rsidR="00561E6B">
        <w:rPr>
          <w:rFonts w:ascii="Times New Roman" w:hAnsi="Times New Roman"/>
          <w:sz w:val="28"/>
          <w:szCs w:val="28"/>
        </w:rPr>
        <w:t>99,9</w:t>
      </w:r>
      <w:r w:rsidRPr="00E06E06">
        <w:rPr>
          <w:rFonts w:ascii="Times New Roman" w:hAnsi="Times New Roman"/>
          <w:sz w:val="28"/>
          <w:szCs w:val="28"/>
        </w:rPr>
        <w:t xml:space="preserve">% к </w:t>
      </w:r>
      <w:r w:rsidR="007C5D5D">
        <w:rPr>
          <w:rFonts w:ascii="Times New Roman" w:hAnsi="Times New Roman"/>
          <w:sz w:val="28"/>
          <w:szCs w:val="28"/>
        </w:rPr>
        <w:t>утвержденному</w:t>
      </w:r>
      <w:r w:rsidRPr="00E06E06">
        <w:rPr>
          <w:rFonts w:ascii="Times New Roman" w:hAnsi="Times New Roman"/>
          <w:sz w:val="28"/>
          <w:szCs w:val="28"/>
        </w:rPr>
        <w:t xml:space="preserve"> плану. </w:t>
      </w:r>
    </w:p>
    <w:p w:rsidR="00E06E06" w:rsidRPr="00561E6B" w:rsidRDefault="00E06E06" w:rsidP="00A875A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13E45" w:rsidRDefault="00561E6B" w:rsidP="00561E6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61E6B">
        <w:rPr>
          <w:rFonts w:ascii="Times New Roman" w:hAnsi="Times New Roman"/>
          <w:sz w:val="28"/>
          <w:szCs w:val="28"/>
        </w:rPr>
        <w:t xml:space="preserve">      Контрольно-счетная палата Каменского района Алтайского края провела тщательный анализ бюджетной отчетности муниципального образования Плотниковский сельсовет за 2024 год. Внимательно изучив </w:t>
      </w:r>
      <w:r w:rsidR="00084680">
        <w:rPr>
          <w:rFonts w:ascii="Times New Roman" w:hAnsi="Times New Roman"/>
          <w:sz w:val="28"/>
          <w:szCs w:val="28"/>
        </w:rPr>
        <w:t>отчет</w:t>
      </w:r>
      <w:r w:rsidRPr="00561E6B">
        <w:rPr>
          <w:rFonts w:ascii="Times New Roman" w:hAnsi="Times New Roman"/>
          <w:sz w:val="28"/>
          <w:szCs w:val="28"/>
        </w:rPr>
        <w:t xml:space="preserve"> «Об исполнении бюджета муниципального образования Плотниковского сельсовета Каменского района Алтайского края за 2024 год», палата пришла к выводу о его достоверности. Это заключение основано на всестороннем исследовании представленных данных, которые, как показала проверка, полностью соответствуют установленным нормам и правилам ведения бюджетного учета. </w:t>
      </w:r>
      <w:r w:rsidR="00084680">
        <w:rPr>
          <w:rFonts w:ascii="Times New Roman" w:hAnsi="Times New Roman"/>
          <w:sz w:val="28"/>
          <w:szCs w:val="28"/>
        </w:rPr>
        <w:t>О</w:t>
      </w:r>
      <w:r w:rsidRPr="00561E6B">
        <w:rPr>
          <w:rFonts w:ascii="Times New Roman" w:hAnsi="Times New Roman"/>
          <w:sz w:val="28"/>
          <w:szCs w:val="28"/>
        </w:rPr>
        <w:t xml:space="preserve">тчетность была сопоставлена с требованиями Бюджетного кодекса Российской Федерации и Положением о бюджетном процессе в муниципальном образовании Плотниковский сельсовет Каменского района Алтайского края, утвержденным решением Плотниковского сельского Совета депутатов от 23 декабря 2021 года № 26. На основании проведенного анализа и полученных результатов, Контрольно-счетная палата Каменского района Алтайского края пришла к однозначному и позитивному заключению. Все представленные данные подтверждают правильность и законность ведения бюджетного учета в Плотниковском сельсовете. В связи с этим, Контрольно-счетная палата Каменского района Алтайского края рекомендует рассмотреть и утвердить представленный отчет об исполнении бюджета Плотниковского сельсовета за 2024 год. </w:t>
      </w:r>
    </w:p>
    <w:p w:rsidR="00084680" w:rsidRDefault="00084680" w:rsidP="00561E6B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2A409D" w:rsidRDefault="004D32CC" w:rsidP="003C0913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</w:t>
      </w:r>
      <w:r w:rsidR="002E431A">
        <w:rPr>
          <w:rFonts w:ascii="Times New Roman" w:hAnsi="Times New Roman"/>
          <w:sz w:val="28"/>
          <w:szCs w:val="28"/>
        </w:rPr>
        <w:t xml:space="preserve">   </w:t>
      </w:r>
      <w:r w:rsidR="001358E6">
        <w:rPr>
          <w:rFonts w:ascii="Times New Roman" w:hAnsi="Times New Roman"/>
          <w:sz w:val="28"/>
          <w:szCs w:val="28"/>
        </w:rPr>
        <w:t xml:space="preserve">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sectPr w:rsidR="001358E6" w:rsidRPr="002A409D" w:rsidSect="00073AF6">
      <w:headerReference w:type="default" r:id="rId12"/>
      <w:footerReference w:type="even" r:id="rId13"/>
      <w:footerReference w:type="default" r:id="rId14"/>
      <w:pgSz w:w="11906" w:h="16838" w:code="9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E9" w:rsidRDefault="006C19E9">
      <w:pPr>
        <w:spacing w:after="0" w:line="240" w:lineRule="auto"/>
      </w:pPr>
      <w:r>
        <w:separator/>
      </w:r>
    </w:p>
  </w:endnote>
  <w:endnote w:type="continuationSeparator" w:id="0">
    <w:p w:rsidR="006C19E9" w:rsidRDefault="006C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20" w:rsidRDefault="00964920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4920" w:rsidRDefault="00964920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20" w:rsidRDefault="00964920" w:rsidP="00272D38">
    <w:pPr>
      <w:pStyle w:val="a3"/>
      <w:framePr w:wrap="around" w:vAnchor="text" w:hAnchor="margin" w:xAlign="right" w:y="1"/>
      <w:rPr>
        <w:rStyle w:val="a5"/>
      </w:rPr>
    </w:pPr>
  </w:p>
  <w:p w:rsidR="00964920" w:rsidRDefault="00964920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E9" w:rsidRDefault="006C19E9">
      <w:pPr>
        <w:spacing w:after="0" w:line="240" w:lineRule="auto"/>
      </w:pPr>
      <w:r>
        <w:separator/>
      </w:r>
    </w:p>
  </w:footnote>
  <w:footnote w:type="continuationSeparator" w:id="0">
    <w:p w:rsidR="006C19E9" w:rsidRDefault="006C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964920" w:rsidRDefault="00964920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3C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64920" w:rsidRDefault="0096492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9A4D44"/>
    <w:multiLevelType w:val="hybridMultilevel"/>
    <w:tmpl w:val="6ABAD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34F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33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0DAA"/>
    <w:rsid w:val="00072B70"/>
    <w:rsid w:val="00073887"/>
    <w:rsid w:val="00073AF6"/>
    <w:rsid w:val="00074275"/>
    <w:rsid w:val="00074964"/>
    <w:rsid w:val="00076A9D"/>
    <w:rsid w:val="00077B5F"/>
    <w:rsid w:val="00080880"/>
    <w:rsid w:val="00081AC4"/>
    <w:rsid w:val="00081F6E"/>
    <w:rsid w:val="00084680"/>
    <w:rsid w:val="00085158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38A6"/>
    <w:rsid w:val="000A5D13"/>
    <w:rsid w:val="000A5EAD"/>
    <w:rsid w:val="000A715B"/>
    <w:rsid w:val="000A7775"/>
    <w:rsid w:val="000B2F27"/>
    <w:rsid w:val="000B537F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5ABE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451C"/>
    <w:rsid w:val="000E5BEB"/>
    <w:rsid w:val="000F020C"/>
    <w:rsid w:val="000F061A"/>
    <w:rsid w:val="000F1782"/>
    <w:rsid w:val="000F1987"/>
    <w:rsid w:val="000F19B2"/>
    <w:rsid w:val="000F1B86"/>
    <w:rsid w:val="000F2250"/>
    <w:rsid w:val="000F249D"/>
    <w:rsid w:val="000F26D5"/>
    <w:rsid w:val="000F2840"/>
    <w:rsid w:val="000F4CEE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1EB2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03D1"/>
    <w:rsid w:val="00142A08"/>
    <w:rsid w:val="00145203"/>
    <w:rsid w:val="00146174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1F94"/>
    <w:rsid w:val="001622D0"/>
    <w:rsid w:val="0016596D"/>
    <w:rsid w:val="00166076"/>
    <w:rsid w:val="00167469"/>
    <w:rsid w:val="00167F80"/>
    <w:rsid w:val="00170E03"/>
    <w:rsid w:val="00171A7A"/>
    <w:rsid w:val="00172CE9"/>
    <w:rsid w:val="0017318E"/>
    <w:rsid w:val="001737D9"/>
    <w:rsid w:val="00173E9F"/>
    <w:rsid w:val="0017713E"/>
    <w:rsid w:val="001771A7"/>
    <w:rsid w:val="00177397"/>
    <w:rsid w:val="001774E1"/>
    <w:rsid w:val="00177563"/>
    <w:rsid w:val="001803CB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1DEE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D65C1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3A9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887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9B2"/>
    <w:rsid w:val="00250B47"/>
    <w:rsid w:val="00251EBE"/>
    <w:rsid w:val="002536A5"/>
    <w:rsid w:val="00254956"/>
    <w:rsid w:val="002557E2"/>
    <w:rsid w:val="00256FF9"/>
    <w:rsid w:val="0025773B"/>
    <w:rsid w:val="002623BF"/>
    <w:rsid w:val="00262515"/>
    <w:rsid w:val="00262EA4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0BB4"/>
    <w:rsid w:val="00281532"/>
    <w:rsid w:val="002830FF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1E0"/>
    <w:rsid w:val="002A05D4"/>
    <w:rsid w:val="002A1EE5"/>
    <w:rsid w:val="002A29A9"/>
    <w:rsid w:val="002A409D"/>
    <w:rsid w:val="002A468D"/>
    <w:rsid w:val="002A617A"/>
    <w:rsid w:val="002A7410"/>
    <w:rsid w:val="002B042A"/>
    <w:rsid w:val="002B07F7"/>
    <w:rsid w:val="002B1A89"/>
    <w:rsid w:val="002B1B67"/>
    <w:rsid w:val="002B498A"/>
    <w:rsid w:val="002B58D4"/>
    <w:rsid w:val="002B6EFC"/>
    <w:rsid w:val="002B73D6"/>
    <w:rsid w:val="002B7ED8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431A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2C34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1D6"/>
    <w:rsid w:val="00326998"/>
    <w:rsid w:val="00330611"/>
    <w:rsid w:val="00334542"/>
    <w:rsid w:val="0033584B"/>
    <w:rsid w:val="003363EC"/>
    <w:rsid w:val="00336728"/>
    <w:rsid w:val="00336AA4"/>
    <w:rsid w:val="00336FAF"/>
    <w:rsid w:val="00341B3E"/>
    <w:rsid w:val="00342095"/>
    <w:rsid w:val="00342216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6B89"/>
    <w:rsid w:val="00367587"/>
    <w:rsid w:val="003714C8"/>
    <w:rsid w:val="003732E1"/>
    <w:rsid w:val="0037339A"/>
    <w:rsid w:val="00375576"/>
    <w:rsid w:val="00375978"/>
    <w:rsid w:val="00375F34"/>
    <w:rsid w:val="00376770"/>
    <w:rsid w:val="003770B2"/>
    <w:rsid w:val="003806CD"/>
    <w:rsid w:val="00380E3A"/>
    <w:rsid w:val="00381CF8"/>
    <w:rsid w:val="00384E72"/>
    <w:rsid w:val="0038559A"/>
    <w:rsid w:val="00385911"/>
    <w:rsid w:val="003867BE"/>
    <w:rsid w:val="003904D1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2C1"/>
    <w:rsid w:val="003B73B7"/>
    <w:rsid w:val="003B7B02"/>
    <w:rsid w:val="003C0913"/>
    <w:rsid w:val="003C1080"/>
    <w:rsid w:val="003C2777"/>
    <w:rsid w:val="003C3CA3"/>
    <w:rsid w:val="003C3D15"/>
    <w:rsid w:val="003C44C2"/>
    <w:rsid w:val="003C4853"/>
    <w:rsid w:val="003C5768"/>
    <w:rsid w:val="003C5DA4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0CB"/>
    <w:rsid w:val="003F2808"/>
    <w:rsid w:val="003F391A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1944"/>
    <w:rsid w:val="00412BFD"/>
    <w:rsid w:val="00412CCA"/>
    <w:rsid w:val="00415252"/>
    <w:rsid w:val="0041587C"/>
    <w:rsid w:val="00415C7F"/>
    <w:rsid w:val="00417E86"/>
    <w:rsid w:val="0042068A"/>
    <w:rsid w:val="0042363B"/>
    <w:rsid w:val="004244FE"/>
    <w:rsid w:val="00426510"/>
    <w:rsid w:val="00426A3E"/>
    <w:rsid w:val="00426D1C"/>
    <w:rsid w:val="00427377"/>
    <w:rsid w:val="00427AC6"/>
    <w:rsid w:val="00431FF6"/>
    <w:rsid w:val="00433124"/>
    <w:rsid w:val="00433493"/>
    <w:rsid w:val="00433828"/>
    <w:rsid w:val="00434037"/>
    <w:rsid w:val="00434220"/>
    <w:rsid w:val="0043477C"/>
    <w:rsid w:val="00434CF5"/>
    <w:rsid w:val="00434F91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D73"/>
    <w:rsid w:val="00457ED2"/>
    <w:rsid w:val="0046000D"/>
    <w:rsid w:val="004619D3"/>
    <w:rsid w:val="004638A4"/>
    <w:rsid w:val="00463F05"/>
    <w:rsid w:val="00464514"/>
    <w:rsid w:val="00464BC5"/>
    <w:rsid w:val="0046547E"/>
    <w:rsid w:val="004663F8"/>
    <w:rsid w:val="004668A4"/>
    <w:rsid w:val="004669B0"/>
    <w:rsid w:val="00466AB5"/>
    <w:rsid w:val="00466B6C"/>
    <w:rsid w:val="00471EF1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38A1"/>
    <w:rsid w:val="0049445F"/>
    <w:rsid w:val="004944D4"/>
    <w:rsid w:val="004951FF"/>
    <w:rsid w:val="00495E04"/>
    <w:rsid w:val="00496B50"/>
    <w:rsid w:val="00497099"/>
    <w:rsid w:val="00497603"/>
    <w:rsid w:val="0049793E"/>
    <w:rsid w:val="00497E22"/>
    <w:rsid w:val="004A0103"/>
    <w:rsid w:val="004A159F"/>
    <w:rsid w:val="004A1674"/>
    <w:rsid w:val="004A1BDD"/>
    <w:rsid w:val="004A2986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3FD"/>
    <w:rsid w:val="004B7993"/>
    <w:rsid w:val="004B7D77"/>
    <w:rsid w:val="004C0207"/>
    <w:rsid w:val="004C5A7A"/>
    <w:rsid w:val="004C5D52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9F4"/>
    <w:rsid w:val="004E1B6A"/>
    <w:rsid w:val="004E3D53"/>
    <w:rsid w:val="004E75E4"/>
    <w:rsid w:val="004E7A73"/>
    <w:rsid w:val="004F0086"/>
    <w:rsid w:val="004F3A2E"/>
    <w:rsid w:val="004F3C18"/>
    <w:rsid w:val="004F4C53"/>
    <w:rsid w:val="004F5B55"/>
    <w:rsid w:val="004F62A1"/>
    <w:rsid w:val="004F6404"/>
    <w:rsid w:val="004F64A3"/>
    <w:rsid w:val="004F6752"/>
    <w:rsid w:val="004F6915"/>
    <w:rsid w:val="004F70C6"/>
    <w:rsid w:val="004F7DC1"/>
    <w:rsid w:val="005013BB"/>
    <w:rsid w:val="005017C4"/>
    <w:rsid w:val="0050206D"/>
    <w:rsid w:val="00502625"/>
    <w:rsid w:val="00503A25"/>
    <w:rsid w:val="00504DA7"/>
    <w:rsid w:val="00504F7E"/>
    <w:rsid w:val="0050507B"/>
    <w:rsid w:val="005052CE"/>
    <w:rsid w:val="00505BC7"/>
    <w:rsid w:val="00506009"/>
    <w:rsid w:val="005060B1"/>
    <w:rsid w:val="00506EC1"/>
    <w:rsid w:val="0050703B"/>
    <w:rsid w:val="00507348"/>
    <w:rsid w:val="0050756E"/>
    <w:rsid w:val="005103F0"/>
    <w:rsid w:val="00513876"/>
    <w:rsid w:val="00514DA4"/>
    <w:rsid w:val="005152EC"/>
    <w:rsid w:val="00516259"/>
    <w:rsid w:val="00520735"/>
    <w:rsid w:val="005223C3"/>
    <w:rsid w:val="005239D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0953"/>
    <w:rsid w:val="00551BCD"/>
    <w:rsid w:val="00551ED4"/>
    <w:rsid w:val="005520A6"/>
    <w:rsid w:val="005531D9"/>
    <w:rsid w:val="00553C82"/>
    <w:rsid w:val="00555096"/>
    <w:rsid w:val="00556428"/>
    <w:rsid w:val="00556C4E"/>
    <w:rsid w:val="00560383"/>
    <w:rsid w:val="005606D1"/>
    <w:rsid w:val="00560812"/>
    <w:rsid w:val="00560DCD"/>
    <w:rsid w:val="00561155"/>
    <w:rsid w:val="00561E59"/>
    <w:rsid w:val="00561E6B"/>
    <w:rsid w:val="00561E7C"/>
    <w:rsid w:val="00562D47"/>
    <w:rsid w:val="00563014"/>
    <w:rsid w:val="00564E09"/>
    <w:rsid w:val="00564FA0"/>
    <w:rsid w:val="005658D7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16DD"/>
    <w:rsid w:val="005D2E73"/>
    <w:rsid w:val="005D6E96"/>
    <w:rsid w:val="005E1514"/>
    <w:rsid w:val="005E2343"/>
    <w:rsid w:val="005E4528"/>
    <w:rsid w:val="005E6BB6"/>
    <w:rsid w:val="005E7233"/>
    <w:rsid w:val="005E73A1"/>
    <w:rsid w:val="005E7705"/>
    <w:rsid w:val="005F02A5"/>
    <w:rsid w:val="005F1981"/>
    <w:rsid w:val="005F312C"/>
    <w:rsid w:val="005F43B0"/>
    <w:rsid w:val="005F645F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03D"/>
    <w:rsid w:val="00644A3B"/>
    <w:rsid w:val="00645FB4"/>
    <w:rsid w:val="00647127"/>
    <w:rsid w:val="00647B1B"/>
    <w:rsid w:val="006521E6"/>
    <w:rsid w:val="006525EF"/>
    <w:rsid w:val="00653DCE"/>
    <w:rsid w:val="00655EDB"/>
    <w:rsid w:val="00655EEE"/>
    <w:rsid w:val="00655F4B"/>
    <w:rsid w:val="00657673"/>
    <w:rsid w:val="00660854"/>
    <w:rsid w:val="00660E7B"/>
    <w:rsid w:val="00660F0A"/>
    <w:rsid w:val="00663201"/>
    <w:rsid w:val="00663E44"/>
    <w:rsid w:val="00665ACA"/>
    <w:rsid w:val="00665D24"/>
    <w:rsid w:val="006663DB"/>
    <w:rsid w:val="00666882"/>
    <w:rsid w:val="00667232"/>
    <w:rsid w:val="00670558"/>
    <w:rsid w:val="00670B63"/>
    <w:rsid w:val="00670E52"/>
    <w:rsid w:val="006715D7"/>
    <w:rsid w:val="006715E5"/>
    <w:rsid w:val="00672D32"/>
    <w:rsid w:val="00674957"/>
    <w:rsid w:val="00675A22"/>
    <w:rsid w:val="00676D21"/>
    <w:rsid w:val="00680057"/>
    <w:rsid w:val="006811CD"/>
    <w:rsid w:val="0068206F"/>
    <w:rsid w:val="00683BE1"/>
    <w:rsid w:val="00684B22"/>
    <w:rsid w:val="00687ACA"/>
    <w:rsid w:val="006930FE"/>
    <w:rsid w:val="00693706"/>
    <w:rsid w:val="00694706"/>
    <w:rsid w:val="006952D9"/>
    <w:rsid w:val="006A1EEC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14B"/>
    <w:rsid w:val="006C15FC"/>
    <w:rsid w:val="006C19E9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2C5F"/>
    <w:rsid w:val="0070372B"/>
    <w:rsid w:val="00704394"/>
    <w:rsid w:val="007046F0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178B1"/>
    <w:rsid w:val="00721719"/>
    <w:rsid w:val="00722EB0"/>
    <w:rsid w:val="00722FE7"/>
    <w:rsid w:val="007237B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3D5"/>
    <w:rsid w:val="00740831"/>
    <w:rsid w:val="007428E9"/>
    <w:rsid w:val="00744001"/>
    <w:rsid w:val="007443DA"/>
    <w:rsid w:val="00745491"/>
    <w:rsid w:val="00747199"/>
    <w:rsid w:val="00750797"/>
    <w:rsid w:val="007508B0"/>
    <w:rsid w:val="007531A3"/>
    <w:rsid w:val="00754477"/>
    <w:rsid w:val="00755007"/>
    <w:rsid w:val="007551C3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943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0BDF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5F31"/>
    <w:rsid w:val="007C63A9"/>
    <w:rsid w:val="007C7BA9"/>
    <w:rsid w:val="007D025F"/>
    <w:rsid w:val="007D12CB"/>
    <w:rsid w:val="007D2CE8"/>
    <w:rsid w:val="007D3284"/>
    <w:rsid w:val="007D4F4D"/>
    <w:rsid w:val="007D576C"/>
    <w:rsid w:val="007D67B4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258A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80E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1C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57F25"/>
    <w:rsid w:val="008625A4"/>
    <w:rsid w:val="00862A69"/>
    <w:rsid w:val="00864ABE"/>
    <w:rsid w:val="00864D0B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8547E"/>
    <w:rsid w:val="00890736"/>
    <w:rsid w:val="00891CE8"/>
    <w:rsid w:val="008931DC"/>
    <w:rsid w:val="00894BA6"/>
    <w:rsid w:val="00894C9F"/>
    <w:rsid w:val="0089663A"/>
    <w:rsid w:val="0089759C"/>
    <w:rsid w:val="00897705"/>
    <w:rsid w:val="0089782E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4675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C73C2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1EF0"/>
    <w:rsid w:val="00964920"/>
    <w:rsid w:val="00964D55"/>
    <w:rsid w:val="009679D8"/>
    <w:rsid w:val="00970A15"/>
    <w:rsid w:val="009718D7"/>
    <w:rsid w:val="00972A03"/>
    <w:rsid w:val="0097486A"/>
    <w:rsid w:val="0097574C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37"/>
    <w:rsid w:val="009952BB"/>
    <w:rsid w:val="0099573C"/>
    <w:rsid w:val="009964AB"/>
    <w:rsid w:val="00996C19"/>
    <w:rsid w:val="00997629"/>
    <w:rsid w:val="009A11EB"/>
    <w:rsid w:val="009A225A"/>
    <w:rsid w:val="009A22AA"/>
    <w:rsid w:val="009A28B6"/>
    <w:rsid w:val="009A350E"/>
    <w:rsid w:val="009A4496"/>
    <w:rsid w:val="009A48BC"/>
    <w:rsid w:val="009A511E"/>
    <w:rsid w:val="009A5656"/>
    <w:rsid w:val="009A613F"/>
    <w:rsid w:val="009A6DB4"/>
    <w:rsid w:val="009A7BC0"/>
    <w:rsid w:val="009B0E97"/>
    <w:rsid w:val="009B1C42"/>
    <w:rsid w:val="009B2457"/>
    <w:rsid w:val="009B2E1B"/>
    <w:rsid w:val="009B3642"/>
    <w:rsid w:val="009B3CAD"/>
    <w:rsid w:val="009B4312"/>
    <w:rsid w:val="009B4839"/>
    <w:rsid w:val="009B5A94"/>
    <w:rsid w:val="009B5D4D"/>
    <w:rsid w:val="009B6C6A"/>
    <w:rsid w:val="009C0CB9"/>
    <w:rsid w:val="009C1259"/>
    <w:rsid w:val="009C1CAA"/>
    <w:rsid w:val="009C36D4"/>
    <w:rsid w:val="009C3F65"/>
    <w:rsid w:val="009C44D7"/>
    <w:rsid w:val="009D02DA"/>
    <w:rsid w:val="009D169E"/>
    <w:rsid w:val="009D2B50"/>
    <w:rsid w:val="009D6C7A"/>
    <w:rsid w:val="009D7A67"/>
    <w:rsid w:val="009E00D6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071F"/>
    <w:rsid w:val="009F1912"/>
    <w:rsid w:val="009F1C91"/>
    <w:rsid w:val="009F253F"/>
    <w:rsid w:val="009F3D3A"/>
    <w:rsid w:val="009F472F"/>
    <w:rsid w:val="009F57D1"/>
    <w:rsid w:val="009F6426"/>
    <w:rsid w:val="00A002DD"/>
    <w:rsid w:val="00A00369"/>
    <w:rsid w:val="00A0113F"/>
    <w:rsid w:val="00A031D1"/>
    <w:rsid w:val="00A04849"/>
    <w:rsid w:val="00A057A9"/>
    <w:rsid w:val="00A05892"/>
    <w:rsid w:val="00A058BC"/>
    <w:rsid w:val="00A05A35"/>
    <w:rsid w:val="00A06650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2286"/>
    <w:rsid w:val="00A23438"/>
    <w:rsid w:val="00A23553"/>
    <w:rsid w:val="00A25A5F"/>
    <w:rsid w:val="00A27B5D"/>
    <w:rsid w:val="00A3091A"/>
    <w:rsid w:val="00A319FA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0E6C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864"/>
    <w:rsid w:val="00A653D1"/>
    <w:rsid w:val="00A653E4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9B4"/>
    <w:rsid w:val="00A84B8D"/>
    <w:rsid w:val="00A875AA"/>
    <w:rsid w:val="00A87D5E"/>
    <w:rsid w:val="00A91020"/>
    <w:rsid w:val="00A91B3C"/>
    <w:rsid w:val="00A91ECC"/>
    <w:rsid w:val="00A92056"/>
    <w:rsid w:val="00A925E0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C73"/>
    <w:rsid w:val="00AB020E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2523"/>
    <w:rsid w:val="00AC3F02"/>
    <w:rsid w:val="00AC474E"/>
    <w:rsid w:val="00AC5386"/>
    <w:rsid w:val="00AC54B7"/>
    <w:rsid w:val="00AC60D3"/>
    <w:rsid w:val="00AC62DB"/>
    <w:rsid w:val="00AC67C8"/>
    <w:rsid w:val="00AD1E45"/>
    <w:rsid w:val="00AD2FB9"/>
    <w:rsid w:val="00AD31AD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62F0"/>
    <w:rsid w:val="00AE63A1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794"/>
    <w:rsid w:val="00B05E3B"/>
    <w:rsid w:val="00B06DF6"/>
    <w:rsid w:val="00B073EA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419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3BB"/>
    <w:rsid w:val="00B33661"/>
    <w:rsid w:val="00B3456B"/>
    <w:rsid w:val="00B346A5"/>
    <w:rsid w:val="00B355B2"/>
    <w:rsid w:val="00B36D48"/>
    <w:rsid w:val="00B37824"/>
    <w:rsid w:val="00B37E05"/>
    <w:rsid w:val="00B37FF4"/>
    <w:rsid w:val="00B40883"/>
    <w:rsid w:val="00B41034"/>
    <w:rsid w:val="00B45249"/>
    <w:rsid w:val="00B46B88"/>
    <w:rsid w:val="00B5089E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490A"/>
    <w:rsid w:val="00B652C6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01AA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42F"/>
    <w:rsid w:val="00BB2C75"/>
    <w:rsid w:val="00BB30A8"/>
    <w:rsid w:val="00BB3863"/>
    <w:rsid w:val="00BB4895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18B"/>
    <w:rsid w:val="00BC541F"/>
    <w:rsid w:val="00BC5FC4"/>
    <w:rsid w:val="00BC65AD"/>
    <w:rsid w:val="00BC6C8A"/>
    <w:rsid w:val="00BD1DF5"/>
    <w:rsid w:val="00BD26E4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064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2CB"/>
    <w:rsid w:val="00C01865"/>
    <w:rsid w:val="00C01899"/>
    <w:rsid w:val="00C072AF"/>
    <w:rsid w:val="00C12A8E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1941"/>
    <w:rsid w:val="00C53516"/>
    <w:rsid w:val="00C5364A"/>
    <w:rsid w:val="00C53966"/>
    <w:rsid w:val="00C53B80"/>
    <w:rsid w:val="00C56F13"/>
    <w:rsid w:val="00C575A0"/>
    <w:rsid w:val="00C60215"/>
    <w:rsid w:val="00C615CA"/>
    <w:rsid w:val="00C62040"/>
    <w:rsid w:val="00C62F18"/>
    <w:rsid w:val="00C63F9E"/>
    <w:rsid w:val="00C6492B"/>
    <w:rsid w:val="00C65E2E"/>
    <w:rsid w:val="00C65EB6"/>
    <w:rsid w:val="00C663C1"/>
    <w:rsid w:val="00C667C3"/>
    <w:rsid w:val="00C6794E"/>
    <w:rsid w:val="00C7032D"/>
    <w:rsid w:val="00C72298"/>
    <w:rsid w:val="00C740E8"/>
    <w:rsid w:val="00C7706A"/>
    <w:rsid w:val="00C77913"/>
    <w:rsid w:val="00C818B9"/>
    <w:rsid w:val="00C82011"/>
    <w:rsid w:val="00C839FC"/>
    <w:rsid w:val="00C84AB1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2D8B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7B65"/>
    <w:rsid w:val="00CC000A"/>
    <w:rsid w:val="00CC005E"/>
    <w:rsid w:val="00CC06E5"/>
    <w:rsid w:val="00CC08D6"/>
    <w:rsid w:val="00CC11BA"/>
    <w:rsid w:val="00CC2C82"/>
    <w:rsid w:val="00CC4319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0C2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1702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5ECA"/>
    <w:rsid w:val="00D16A98"/>
    <w:rsid w:val="00D177A5"/>
    <w:rsid w:val="00D20324"/>
    <w:rsid w:val="00D20555"/>
    <w:rsid w:val="00D21661"/>
    <w:rsid w:val="00D23C94"/>
    <w:rsid w:val="00D24D22"/>
    <w:rsid w:val="00D26EB0"/>
    <w:rsid w:val="00D2754C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0755"/>
    <w:rsid w:val="00D41339"/>
    <w:rsid w:val="00D41513"/>
    <w:rsid w:val="00D416F1"/>
    <w:rsid w:val="00D43CE5"/>
    <w:rsid w:val="00D4422A"/>
    <w:rsid w:val="00D45ED4"/>
    <w:rsid w:val="00D463F1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01A"/>
    <w:rsid w:val="00D74679"/>
    <w:rsid w:val="00D74ABA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07C"/>
    <w:rsid w:val="00D95325"/>
    <w:rsid w:val="00D95326"/>
    <w:rsid w:val="00D96562"/>
    <w:rsid w:val="00D976CB"/>
    <w:rsid w:val="00DA0D53"/>
    <w:rsid w:val="00DA0EC0"/>
    <w:rsid w:val="00DA2376"/>
    <w:rsid w:val="00DA2816"/>
    <w:rsid w:val="00DA3F33"/>
    <w:rsid w:val="00DA4463"/>
    <w:rsid w:val="00DA48E9"/>
    <w:rsid w:val="00DA493E"/>
    <w:rsid w:val="00DA50AC"/>
    <w:rsid w:val="00DA6C27"/>
    <w:rsid w:val="00DB0D4E"/>
    <w:rsid w:val="00DB0F69"/>
    <w:rsid w:val="00DB152D"/>
    <w:rsid w:val="00DB23C6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E12"/>
    <w:rsid w:val="00DD6E5C"/>
    <w:rsid w:val="00DD711A"/>
    <w:rsid w:val="00DD76AD"/>
    <w:rsid w:val="00DE3313"/>
    <w:rsid w:val="00DE3811"/>
    <w:rsid w:val="00DE3FBF"/>
    <w:rsid w:val="00DE44B4"/>
    <w:rsid w:val="00DE45C3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BCB"/>
    <w:rsid w:val="00DF6D34"/>
    <w:rsid w:val="00DF7214"/>
    <w:rsid w:val="00DF7D3A"/>
    <w:rsid w:val="00E00566"/>
    <w:rsid w:val="00E0163D"/>
    <w:rsid w:val="00E02622"/>
    <w:rsid w:val="00E049A4"/>
    <w:rsid w:val="00E052C8"/>
    <w:rsid w:val="00E06761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37745"/>
    <w:rsid w:val="00E4059A"/>
    <w:rsid w:val="00E41515"/>
    <w:rsid w:val="00E41B50"/>
    <w:rsid w:val="00E41B6F"/>
    <w:rsid w:val="00E4249C"/>
    <w:rsid w:val="00E42ECD"/>
    <w:rsid w:val="00E436D3"/>
    <w:rsid w:val="00E453D0"/>
    <w:rsid w:val="00E46277"/>
    <w:rsid w:val="00E50564"/>
    <w:rsid w:val="00E5129C"/>
    <w:rsid w:val="00E526FC"/>
    <w:rsid w:val="00E53FD0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207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4F9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3E45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2CD6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84EBB"/>
    <w:rsid w:val="00F90899"/>
    <w:rsid w:val="00F93435"/>
    <w:rsid w:val="00F94A83"/>
    <w:rsid w:val="00F94B4F"/>
    <w:rsid w:val="00F97FE8"/>
    <w:rsid w:val="00FA1DCD"/>
    <w:rsid w:val="00FA2796"/>
    <w:rsid w:val="00FA314D"/>
    <w:rsid w:val="00FA39CF"/>
    <w:rsid w:val="00FA3AC2"/>
    <w:rsid w:val="00FA54BC"/>
    <w:rsid w:val="00FA5AAC"/>
    <w:rsid w:val="00FA6764"/>
    <w:rsid w:val="00FA7585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7EB"/>
    <w:rsid w:val="00FC489D"/>
    <w:rsid w:val="00FC4D37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4B8C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0616206757939043E-2"/>
          <c:w val="1"/>
          <c:h val="0.979383793242060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2"/>
            <c:bubble3D val="0"/>
            <c:explosion val="37"/>
          </c:dPt>
          <c:dPt>
            <c:idx val="3"/>
            <c:bubble3D val="0"/>
            <c:explosion val="77"/>
          </c:dPt>
          <c:dLbls>
            <c:dLbl>
              <c:idx val="2"/>
              <c:layout>
                <c:manualLayout>
                  <c:x val="2.7741596816526968E-2"/>
                  <c:y val="-1.06159560243648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сельскохозяйственный налог</c:v>
                </c:pt>
                <c:pt idx="2">
                  <c:v>Налог на имущество физических лиц, взимаемый по ставкам, применяемым к объектам налогообложения, расположенным в границах поселени</c:v>
                </c:pt>
                <c:pt idx="3">
                  <c:v>Земельный налог - 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92.4</c:v>
                </c:pt>
                <c:pt idx="1">
                  <c:v>3.3</c:v>
                </c:pt>
                <c:pt idx="2">
                  <c:v>160.1</c:v>
                </c:pt>
                <c:pt idx="3">
                  <c:v>942.3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0"/>
            <c:bubble3D val="0"/>
            <c:explosion val="8"/>
          </c:dPt>
          <c:dPt>
            <c:idx val="2"/>
            <c:bubble3D val="0"/>
            <c:explosion val="20"/>
          </c:dPt>
          <c:dPt>
            <c:idx val="3"/>
            <c:bubble3D val="0"/>
            <c:explosion val="36"/>
          </c:dPt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государственной и муниципальной собственности </c:v>
                </c:pt>
                <c:pt idx="1">
                  <c:v>Доходы от оказания платных услуг (работ) и компенсации затрат государства</c:v>
                </c:pt>
                <c:pt idx="2">
                  <c:v>Штрафы, санкции</c:v>
                </c:pt>
                <c:pt idx="3">
                  <c:v>прочие 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37.4</c:v>
                </c:pt>
                <c:pt idx="1">
                  <c:v>3</c:v>
                </c:pt>
                <c:pt idx="2">
                  <c:v>1</c:v>
                </c:pt>
                <c:pt idx="3">
                  <c:v>350.4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BF2B2-D570-4989-A17C-A7737F2B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12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147</cp:revision>
  <cp:lastPrinted>2025-03-17T09:00:00Z</cp:lastPrinted>
  <dcterms:created xsi:type="dcterms:W3CDTF">2024-08-14T09:39:00Z</dcterms:created>
  <dcterms:modified xsi:type="dcterms:W3CDTF">2025-03-17T09:25:00Z</dcterms:modified>
</cp:coreProperties>
</file>