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0D" w:rsidRDefault="0055060D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8A28E4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8A28E4">
        <w:rPr>
          <w:rFonts w:ascii="Times New Roman" w:hAnsi="Times New Roman"/>
          <w:b/>
          <w:sz w:val="18"/>
          <w:szCs w:val="18"/>
        </w:rPr>
        <w:t xml:space="preserve">. 8(385-84)2-11-30, </w:t>
      </w:r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email</w:t>
      </w:r>
      <w:r w:rsidR="006F57EF" w:rsidRPr="008A28E4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6F57EF" w:rsidRPr="008A28E4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6F57EF" w:rsidRPr="008A28E4">
        <w:rPr>
          <w:rFonts w:ascii="Times New Roman" w:hAnsi="Times New Roman"/>
          <w:b/>
          <w:sz w:val="18"/>
          <w:szCs w:val="18"/>
        </w:rPr>
        <w:t>210923@</w:t>
      </w:r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6F57EF" w:rsidRPr="008A28E4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6F57EF" w:rsidRPr="006F57EF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="006F57EF" w:rsidRPr="008A28E4">
        <w:rPr>
          <w:rFonts w:ascii="Times New Roman" w:hAnsi="Times New Roman"/>
          <w:b/>
          <w:sz w:val="18"/>
          <w:szCs w:val="18"/>
        </w:rPr>
        <w:t xml:space="preserve"> </w:t>
      </w:r>
      <w:r w:rsidRPr="008A28E4">
        <w:rPr>
          <w:rFonts w:ascii="Times New Roman" w:hAnsi="Times New Roman"/>
          <w:b/>
          <w:sz w:val="18"/>
          <w:szCs w:val="18"/>
        </w:rPr>
        <w:cr/>
      </w:r>
      <w:r w:rsidR="002B07F7" w:rsidRPr="008A28E4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8A28E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8A28E4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39E">
        <w:rPr>
          <w:rFonts w:ascii="Times New Roman" w:hAnsi="Times New Roman"/>
          <w:sz w:val="28"/>
          <w:szCs w:val="28"/>
          <w:u w:val="single"/>
        </w:rPr>
        <w:t>«</w:t>
      </w:r>
      <w:r w:rsidR="00C032BE">
        <w:rPr>
          <w:rFonts w:ascii="Times New Roman" w:hAnsi="Times New Roman"/>
          <w:sz w:val="28"/>
          <w:szCs w:val="28"/>
          <w:u w:val="single"/>
        </w:rPr>
        <w:t>24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032BE">
        <w:rPr>
          <w:rFonts w:ascii="Times New Roman" w:hAnsi="Times New Roman"/>
          <w:sz w:val="28"/>
          <w:szCs w:val="28"/>
          <w:u w:val="single"/>
        </w:rPr>
        <w:t>марта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C032BE">
        <w:rPr>
          <w:rFonts w:ascii="Times New Roman" w:hAnsi="Times New Roman"/>
          <w:sz w:val="28"/>
          <w:szCs w:val="28"/>
          <w:u w:val="single"/>
        </w:rPr>
        <w:t>5</w:t>
      </w:r>
      <w:r w:rsidRPr="00D3539E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="00C032BE">
        <w:rPr>
          <w:rFonts w:ascii="Times New Roman" w:hAnsi="Times New Roman"/>
          <w:sz w:val="28"/>
          <w:szCs w:val="28"/>
          <w:u w:val="single"/>
        </w:rPr>
        <w:t>33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9B4" w:rsidRDefault="008A28E4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8E4">
        <w:rPr>
          <w:rFonts w:ascii="Times New Roman" w:hAnsi="Times New Roman"/>
          <w:sz w:val="28"/>
          <w:szCs w:val="28"/>
        </w:rPr>
        <w:t xml:space="preserve">       </w:t>
      </w:r>
      <w:r w:rsidR="000D29B4" w:rsidRPr="000D29B4">
        <w:rPr>
          <w:rFonts w:ascii="Times New Roman" w:hAnsi="Times New Roman"/>
          <w:sz w:val="28"/>
          <w:szCs w:val="28"/>
        </w:rPr>
        <w:t xml:space="preserve">     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</w:t>
      </w:r>
      <w:r w:rsidR="000D29B4">
        <w:rPr>
          <w:rFonts w:ascii="Times New Roman" w:hAnsi="Times New Roman"/>
          <w:sz w:val="28"/>
          <w:szCs w:val="28"/>
        </w:rPr>
        <w:t>:</w:t>
      </w:r>
    </w:p>
    <w:p w:rsidR="004D32CC" w:rsidRPr="002557E2" w:rsidRDefault="008A28E4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8E4">
        <w:rPr>
          <w:rFonts w:ascii="Times New Roman" w:hAnsi="Times New Roman"/>
          <w:sz w:val="28"/>
          <w:szCs w:val="28"/>
        </w:rPr>
        <w:t xml:space="preserve">   </w:t>
      </w:r>
      <w:r w:rsidR="002557E2"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D3539E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0D29B4" w:rsidRPr="000D29B4">
        <w:rPr>
          <w:rFonts w:ascii="Times New Roman" w:hAnsi="Times New Roman"/>
          <w:sz w:val="28"/>
          <w:szCs w:val="28"/>
        </w:rPr>
        <w:t>проекта решения</w:t>
      </w:r>
      <w:r w:rsidR="009C30BB" w:rsidRPr="009C30BB">
        <w:rPr>
          <w:rFonts w:ascii="Times New Roman" w:hAnsi="Times New Roman"/>
          <w:sz w:val="28"/>
          <w:szCs w:val="28"/>
        </w:rPr>
        <w:t xml:space="preserve"> Администрации  Телеутского сельсовета Каменского района Алтайского края «Об исполнении бюджета Администрации за </w:t>
      </w:r>
      <w:r w:rsidR="000D29B4">
        <w:rPr>
          <w:rFonts w:ascii="Times New Roman" w:hAnsi="Times New Roman"/>
          <w:sz w:val="28"/>
          <w:szCs w:val="28"/>
        </w:rPr>
        <w:t>2024 год</w:t>
      </w:r>
      <w:r w:rsidR="009C30BB" w:rsidRPr="009C30BB">
        <w:rPr>
          <w:rFonts w:ascii="Times New Roman" w:hAnsi="Times New Roman"/>
          <w:sz w:val="28"/>
          <w:szCs w:val="28"/>
        </w:rPr>
        <w:t>»</w:t>
      </w:r>
      <w:r w:rsidR="002557E2" w:rsidRPr="002557E2">
        <w:rPr>
          <w:rFonts w:ascii="Times New Roman" w:hAnsi="Times New Roman"/>
          <w:sz w:val="28"/>
          <w:szCs w:val="28"/>
        </w:rPr>
        <w:t>.</w:t>
      </w:r>
      <w:r w:rsidR="000C22AC">
        <w:rPr>
          <w:rFonts w:ascii="Times New Roman" w:hAnsi="Times New Roman"/>
          <w:sz w:val="28"/>
          <w:szCs w:val="28"/>
        </w:rPr>
        <w:t xml:space="preserve"> </w:t>
      </w:r>
    </w:p>
    <w:p w:rsidR="002557E2" w:rsidRDefault="002557E2" w:rsidP="00D3539E">
      <w:pPr>
        <w:tabs>
          <w:tab w:val="center" w:pos="4677"/>
          <w:tab w:val="left" w:pos="5976"/>
        </w:tabs>
        <w:spacing w:before="2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Pr="002557E2">
        <w:rPr>
          <w:rFonts w:ascii="Times New Roman" w:hAnsi="Times New Roman"/>
          <w:sz w:val="28"/>
          <w:szCs w:val="28"/>
        </w:rPr>
        <w:t xml:space="preserve">: с </w:t>
      </w:r>
      <w:r w:rsidR="000D29B4">
        <w:rPr>
          <w:rFonts w:ascii="Times New Roman" w:hAnsi="Times New Roman"/>
          <w:sz w:val="28"/>
          <w:szCs w:val="28"/>
        </w:rPr>
        <w:t>24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0D29B4">
        <w:rPr>
          <w:rFonts w:ascii="Times New Roman" w:hAnsi="Times New Roman"/>
          <w:sz w:val="28"/>
          <w:szCs w:val="28"/>
        </w:rPr>
        <w:t>марта</w:t>
      </w:r>
      <w:r w:rsidR="006646E5">
        <w:rPr>
          <w:rFonts w:ascii="Times New Roman" w:hAnsi="Times New Roman"/>
          <w:sz w:val="28"/>
          <w:szCs w:val="28"/>
        </w:rPr>
        <w:t xml:space="preserve"> 202</w:t>
      </w:r>
      <w:r w:rsidR="000D29B4">
        <w:rPr>
          <w:rFonts w:ascii="Times New Roman" w:hAnsi="Times New Roman"/>
          <w:sz w:val="28"/>
          <w:szCs w:val="28"/>
        </w:rPr>
        <w:t>5</w:t>
      </w:r>
      <w:r w:rsidR="006646E5">
        <w:rPr>
          <w:rFonts w:ascii="Times New Roman" w:hAnsi="Times New Roman"/>
          <w:sz w:val="28"/>
          <w:szCs w:val="28"/>
        </w:rPr>
        <w:t xml:space="preserve"> год </w:t>
      </w:r>
      <w:proofErr w:type="gramStart"/>
      <w:r w:rsidR="006646E5">
        <w:rPr>
          <w:rFonts w:ascii="Times New Roman" w:hAnsi="Times New Roman"/>
          <w:sz w:val="28"/>
          <w:szCs w:val="28"/>
        </w:rPr>
        <w:t>по</w:t>
      </w:r>
      <w:proofErr w:type="gramEnd"/>
      <w:r w:rsidR="006646E5">
        <w:rPr>
          <w:rFonts w:ascii="Times New Roman" w:hAnsi="Times New Roman"/>
          <w:sz w:val="28"/>
          <w:szCs w:val="28"/>
        </w:rPr>
        <w:t xml:space="preserve"> </w:t>
      </w:r>
    </w:p>
    <w:p w:rsidR="006646E5" w:rsidRPr="002557E2" w:rsidRDefault="000D29B4" w:rsidP="006646E5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марта</w:t>
      </w:r>
      <w:r w:rsidR="006646E5" w:rsidRPr="006646E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="006646E5" w:rsidRPr="006646E5">
        <w:rPr>
          <w:rFonts w:ascii="Times New Roman" w:hAnsi="Times New Roman"/>
          <w:sz w:val="28"/>
          <w:szCs w:val="28"/>
        </w:rPr>
        <w:t xml:space="preserve">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</w:t>
      </w:r>
      <w:r w:rsidR="000D29B4">
        <w:rPr>
          <w:rFonts w:ascii="Times New Roman" w:hAnsi="Times New Roman"/>
          <w:sz w:val="28"/>
          <w:szCs w:val="28"/>
        </w:rPr>
        <w:t>ой</w:t>
      </w:r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 xml:space="preserve">Разместить результаты </w:t>
      </w:r>
      <w:r w:rsidR="00D3539E">
        <w:rPr>
          <w:rFonts w:ascii="Times New Roman" w:hAnsi="Times New Roman"/>
          <w:sz w:val="28"/>
          <w:szCs w:val="28"/>
        </w:rPr>
        <w:t>внешней проверки</w:t>
      </w:r>
      <w:r w:rsidR="004D32CC" w:rsidRPr="004D32CC">
        <w:rPr>
          <w:rFonts w:ascii="Times New Roman" w:hAnsi="Times New Roman"/>
          <w:sz w:val="28"/>
          <w:szCs w:val="28"/>
        </w:rPr>
        <w:t xml:space="preserve">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96B50"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>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9B4" w:rsidRDefault="000D29B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9B4" w:rsidRDefault="000D29B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9B4" w:rsidRDefault="000D29B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9B4" w:rsidRDefault="000D29B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29B4" w:rsidRPr="004D32CC" w:rsidRDefault="000D29B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B50" w:rsidRDefault="00496B50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4A9F5A9A" wp14:editId="5E639811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8A28E4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8A28E4">
        <w:rPr>
          <w:rFonts w:ascii="Times New Roman" w:hAnsi="Times New Roman"/>
          <w:b/>
          <w:sz w:val="16"/>
          <w:szCs w:val="16"/>
        </w:rPr>
        <w:t xml:space="preserve">. 8(385-84)2-11-30, </w:t>
      </w:r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email</w:t>
      </w:r>
      <w:r w:rsidR="006F57EF" w:rsidRPr="008A28E4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6F57EF" w:rsidRPr="008A28E4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6F57EF" w:rsidRPr="008A28E4">
        <w:rPr>
          <w:rFonts w:ascii="Times New Roman" w:hAnsi="Times New Roman"/>
          <w:b/>
          <w:sz w:val="16"/>
          <w:szCs w:val="16"/>
        </w:rPr>
        <w:t>210923@</w:t>
      </w:r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6F57EF" w:rsidRPr="008A28E4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6F57EF" w:rsidRPr="006F57EF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Pr="008A28E4">
        <w:rPr>
          <w:rFonts w:ascii="Times New Roman" w:hAnsi="Times New Roman"/>
          <w:b/>
          <w:sz w:val="28"/>
          <w:szCs w:val="28"/>
        </w:rPr>
        <w:t xml:space="preserve"> </w:t>
      </w:r>
      <w:r w:rsidRPr="008A28E4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8A28E4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2B22A7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24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56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5E2343" w:rsidRDefault="00EC0E69" w:rsidP="00A93AFF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>Е.В. Башта</w:t>
      </w: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EC0E6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1324D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93AFF" w:rsidRPr="00A93AFF">
        <w:rPr>
          <w:rFonts w:ascii="Times New Roman" w:hAnsi="Times New Roman"/>
          <w:sz w:val="28"/>
          <w:szCs w:val="28"/>
        </w:rPr>
        <w:t>Е.В. Башта</w:t>
      </w:r>
      <w:r w:rsidR="00E1324D" w:rsidRPr="005E2343">
        <w:rPr>
          <w:rFonts w:ascii="Times New Roman" w:hAnsi="Times New Roman"/>
          <w:b/>
          <w:sz w:val="24"/>
          <w:szCs w:val="24"/>
        </w:rPr>
        <w:tab/>
      </w:r>
    </w:p>
    <w:p w:rsidR="0071591A" w:rsidRDefault="0071591A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91A" w:rsidRPr="005E2343" w:rsidRDefault="0071591A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620" w:rsidRDefault="00BD5620" w:rsidP="00BD5620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BD5620" w:rsidP="00E761F9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BD5620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</w:t>
      </w:r>
      <w:r w:rsidR="00521749" w:rsidRPr="00521749">
        <w:rPr>
          <w:rFonts w:ascii="Times New Roman" w:hAnsi="Times New Roman"/>
          <w:b/>
          <w:sz w:val="28"/>
          <w:szCs w:val="28"/>
        </w:rPr>
        <w:t>проекта решения</w:t>
      </w:r>
      <w:r w:rsidR="00521749">
        <w:rPr>
          <w:rFonts w:ascii="Times New Roman" w:hAnsi="Times New Roman"/>
          <w:b/>
          <w:sz w:val="28"/>
          <w:szCs w:val="28"/>
        </w:rPr>
        <w:t xml:space="preserve"> </w:t>
      </w:r>
      <w:r w:rsidR="00E761F9" w:rsidRPr="00E761F9">
        <w:rPr>
          <w:rFonts w:ascii="Times New Roman" w:hAnsi="Times New Roman"/>
          <w:b/>
          <w:sz w:val="28"/>
          <w:szCs w:val="28"/>
        </w:rPr>
        <w:t xml:space="preserve"> Администрации  Телеутского сельсовета Каменского района Алтайского края «Об исполнении бюджета Администрации за </w:t>
      </w:r>
      <w:r w:rsidR="00A77119">
        <w:rPr>
          <w:rFonts w:ascii="Times New Roman" w:hAnsi="Times New Roman"/>
          <w:b/>
          <w:sz w:val="28"/>
          <w:szCs w:val="28"/>
        </w:rPr>
        <w:t>2024 год</w:t>
      </w:r>
      <w:r w:rsidR="00E761F9" w:rsidRPr="00E761F9">
        <w:rPr>
          <w:rFonts w:ascii="Times New Roman" w:hAnsi="Times New Roman"/>
          <w:b/>
          <w:sz w:val="28"/>
          <w:szCs w:val="28"/>
        </w:rPr>
        <w:t>»</w:t>
      </w:r>
      <w:r w:rsidR="00521749">
        <w:rPr>
          <w:rFonts w:ascii="Times New Roman" w:hAnsi="Times New Roman"/>
          <w:b/>
          <w:sz w:val="28"/>
          <w:szCs w:val="28"/>
        </w:rPr>
        <w:t>.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FD1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r w:rsidR="00DB3506" w:rsidRPr="00E526FC">
        <w:rPr>
          <w:rFonts w:ascii="Times New Roman" w:hAnsi="Times New Roman"/>
          <w:sz w:val="28"/>
          <w:szCs w:val="28"/>
        </w:rPr>
        <w:t xml:space="preserve">на основании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496B50">
        <w:rPr>
          <w:rFonts w:ascii="Times New Roman" w:hAnsi="Times New Roman"/>
          <w:sz w:val="28"/>
          <w:szCs w:val="28"/>
        </w:rPr>
        <w:t>Телеутский</w:t>
      </w:r>
      <w:r w:rsidR="0083725B" w:rsidRPr="00E526FC">
        <w:rPr>
          <w:rFonts w:ascii="Times New Roman" w:hAnsi="Times New Roman"/>
          <w:sz w:val="28"/>
          <w:szCs w:val="28"/>
        </w:rPr>
        <w:t xml:space="preserve">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A93AFF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A93AFF" w:rsidRPr="00A93AFF">
        <w:rPr>
          <w:rFonts w:ascii="Times New Roman" w:hAnsi="Times New Roman"/>
          <w:sz w:val="28"/>
          <w:szCs w:val="28"/>
        </w:rPr>
        <w:t>29.12.2021 № 30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</w:t>
      </w:r>
      <w:r w:rsidR="00187628" w:rsidRPr="00187628">
        <w:rPr>
          <w:rFonts w:ascii="Times New Roman" w:hAnsi="Times New Roman"/>
          <w:sz w:val="28"/>
          <w:szCs w:val="28"/>
        </w:rPr>
        <w:t>Пункт 3.1 плана работы Контрольно-счетной палаты  Каменского района Алтайского края на 2025 год, утвержденного распоряжением Контрольно-счетной платы Каменского района Алтайского края от 18.12.2024 № 172(с изменениями от 29.01.2025 №104)</w:t>
      </w:r>
      <w:r w:rsidR="00DB3506" w:rsidRPr="00DB3506">
        <w:rPr>
          <w:rFonts w:ascii="Times New Roman" w:hAnsi="Times New Roman"/>
          <w:sz w:val="28"/>
          <w:szCs w:val="28"/>
        </w:rPr>
        <w:t>; распоряжени</w:t>
      </w:r>
      <w:r w:rsidR="00A77119">
        <w:rPr>
          <w:rFonts w:ascii="Times New Roman" w:hAnsi="Times New Roman"/>
          <w:sz w:val="28"/>
          <w:szCs w:val="28"/>
        </w:rPr>
        <w:t>я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A77119">
        <w:rPr>
          <w:rFonts w:ascii="Times New Roman" w:hAnsi="Times New Roman"/>
          <w:sz w:val="28"/>
          <w:szCs w:val="28"/>
        </w:rPr>
        <w:t>24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A77119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.202</w:t>
      </w:r>
      <w:r w:rsidR="00A77119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A77119">
        <w:rPr>
          <w:rFonts w:ascii="Times New Roman" w:hAnsi="Times New Roman"/>
          <w:sz w:val="28"/>
          <w:szCs w:val="28"/>
        </w:rPr>
        <w:t>33</w:t>
      </w:r>
      <w:r w:rsidR="00DB3506" w:rsidRPr="00DB3506">
        <w:rPr>
          <w:rFonts w:ascii="Times New Roman" w:hAnsi="Times New Roman"/>
          <w:sz w:val="28"/>
          <w:szCs w:val="28"/>
        </w:rPr>
        <w:t>.</w:t>
      </w:r>
    </w:p>
    <w:p w:rsidR="008D2DD1" w:rsidRPr="002A409D" w:rsidRDefault="00DB3506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A77119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A77119">
        <w:rPr>
          <w:rFonts w:ascii="Times New Roman" w:hAnsi="Times New Roman"/>
          <w:sz w:val="28"/>
          <w:szCs w:val="28"/>
        </w:rPr>
        <w:t>проект</w:t>
      </w:r>
      <w:r w:rsidR="00A77119" w:rsidRPr="00A77119">
        <w:rPr>
          <w:rFonts w:ascii="Times New Roman" w:hAnsi="Times New Roman"/>
          <w:sz w:val="28"/>
          <w:szCs w:val="28"/>
        </w:rPr>
        <w:t xml:space="preserve"> решения  Администрации  Телеутского сельсовета Каменского района Алтайского края «Об исполнении бю</w:t>
      </w:r>
      <w:r w:rsidR="00A77119">
        <w:rPr>
          <w:rFonts w:ascii="Times New Roman" w:hAnsi="Times New Roman"/>
          <w:sz w:val="28"/>
          <w:szCs w:val="28"/>
        </w:rPr>
        <w:t>джета Администрации за 2024 год</w:t>
      </w:r>
      <w:r w:rsidR="00A77119" w:rsidRPr="00A77119">
        <w:rPr>
          <w:rFonts w:ascii="Times New Roman" w:hAnsi="Times New Roman"/>
          <w:sz w:val="28"/>
          <w:szCs w:val="28"/>
        </w:rPr>
        <w:t>»</w:t>
      </w:r>
      <w:r w:rsidR="00A77119">
        <w:rPr>
          <w:rFonts w:ascii="Times New Roman" w:hAnsi="Times New Roman"/>
          <w:sz w:val="28"/>
          <w:szCs w:val="28"/>
        </w:rPr>
        <w:t>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161F94">
        <w:rPr>
          <w:rFonts w:ascii="Times New Roman" w:hAnsi="Times New Roman"/>
          <w:b/>
          <w:sz w:val="28"/>
          <w:szCs w:val="28"/>
        </w:rPr>
        <w:t xml:space="preserve">Цель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оценить объемы, динамику и структуру доходов и расходов бюджета поселения, межбюджетных трансфертов, дефицита бюджета поселения, анализ муниципального долга.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161F94">
        <w:rPr>
          <w:rFonts w:ascii="Times New Roman" w:hAnsi="Times New Roman"/>
          <w:b/>
          <w:sz w:val="28"/>
          <w:szCs w:val="28"/>
        </w:rPr>
        <w:t xml:space="preserve">Объект </w:t>
      </w:r>
      <w:r w:rsidR="009C30BB">
        <w:rPr>
          <w:rFonts w:ascii="Times New Roman" w:hAnsi="Times New Roman"/>
          <w:b/>
          <w:sz w:val="28"/>
          <w:szCs w:val="28"/>
        </w:rPr>
        <w:t>внешней проверки</w:t>
      </w:r>
      <w:r w:rsidRPr="00161F94">
        <w:rPr>
          <w:rFonts w:ascii="Times New Roman" w:hAnsi="Times New Roman"/>
          <w:b/>
          <w:sz w:val="28"/>
          <w:szCs w:val="28"/>
        </w:rPr>
        <w:t>:</w:t>
      </w:r>
      <w:r w:rsidRPr="00161F94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>Телеутский</w:t>
      </w:r>
      <w:r w:rsidRPr="00161F94"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 xml:space="preserve">Каменского </w:t>
      </w:r>
      <w:r w:rsidRPr="00161F94">
        <w:rPr>
          <w:rFonts w:ascii="Times New Roman" w:hAnsi="Times New Roman"/>
          <w:sz w:val="28"/>
          <w:szCs w:val="28"/>
        </w:rPr>
        <w:t>района Алтайского края.</w:t>
      </w:r>
    </w:p>
    <w:p w:rsidR="00161F94" w:rsidRDefault="00161F94" w:rsidP="00161F9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161F94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161F94">
        <w:rPr>
          <w:rFonts w:ascii="Times New Roman" w:hAnsi="Times New Roman"/>
          <w:sz w:val="28"/>
          <w:szCs w:val="28"/>
        </w:rPr>
        <w:t xml:space="preserve"> </w:t>
      </w:r>
      <w:r w:rsidR="0043435F">
        <w:rPr>
          <w:rFonts w:ascii="Times New Roman" w:hAnsi="Times New Roman"/>
          <w:sz w:val="28"/>
          <w:szCs w:val="28"/>
        </w:rPr>
        <w:t>2024 год</w:t>
      </w:r>
      <w:r w:rsidRPr="00161F94">
        <w:rPr>
          <w:rFonts w:ascii="Times New Roman" w:hAnsi="Times New Roman"/>
          <w:sz w:val="28"/>
          <w:szCs w:val="28"/>
        </w:rPr>
        <w:t>.</w:t>
      </w:r>
    </w:p>
    <w:p w:rsidR="00161F94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61F94" w:rsidRPr="00161F94">
        <w:rPr>
          <w:rFonts w:ascii="Times New Roman" w:hAnsi="Times New Roman"/>
          <w:b/>
          <w:sz w:val="28"/>
          <w:szCs w:val="28"/>
        </w:rPr>
        <w:t>Срок проведения экспертно-аналитического мероприятия:</w:t>
      </w:r>
      <w:r w:rsidR="00161F94" w:rsidRPr="00161F94">
        <w:rPr>
          <w:rFonts w:ascii="Times New Roman" w:hAnsi="Times New Roman"/>
          <w:sz w:val="28"/>
          <w:szCs w:val="28"/>
        </w:rPr>
        <w:t xml:space="preserve"> с </w:t>
      </w:r>
      <w:r w:rsidR="0043435F">
        <w:rPr>
          <w:rFonts w:ascii="Times New Roman" w:hAnsi="Times New Roman"/>
          <w:sz w:val="28"/>
          <w:szCs w:val="28"/>
        </w:rPr>
        <w:t>24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43435F">
        <w:rPr>
          <w:rFonts w:ascii="Times New Roman" w:hAnsi="Times New Roman"/>
          <w:sz w:val="28"/>
          <w:szCs w:val="28"/>
        </w:rPr>
        <w:t>марта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161F94" w:rsidRPr="00161F94">
        <w:rPr>
          <w:rFonts w:ascii="Times New Roman" w:hAnsi="Times New Roman"/>
          <w:sz w:val="28"/>
          <w:szCs w:val="28"/>
        </w:rPr>
        <w:t>202</w:t>
      </w:r>
      <w:r w:rsidR="0043435F">
        <w:rPr>
          <w:rFonts w:ascii="Times New Roman" w:hAnsi="Times New Roman"/>
          <w:sz w:val="28"/>
          <w:szCs w:val="28"/>
        </w:rPr>
        <w:t>5</w:t>
      </w:r>
      <w:r w:rsidR="00161F94" w:rsidRPr="00161F94">
        <w:rPr>
          <w:rFonts w:ascii="Times New Roman" w:hAnsi="Times New Roman"/>
          <w:sz w:val="28"/>
          <w:szCs w:val="28"/>
        </w:rPr>
        <w:t xml:space="preserve"> года по </w:t>
      </w:r>
      <w:r w:rsidR="0043435F">
        <w:rPr>
          <w:rFonts w:ascii="Times New Roman" w:hAnsi="Times New Roman"/>
          <w:sz w:val="28"/>
          <w:szCs w:val="28"/>
        </w:rPr>
        <w:t>24</w:t>
      </w:r>
      <w:r w:rsidR="00161F94" w:rsidRPr="00161F94">
        <w:rPr>
          <w:rFonts w:ascii="Times New Roman" w:hAnsi="Times New Roman"/>
          <w:sz w:val="28"/>
          <w:szCs w:val="28"/>
        </w:rPr>
        <w:t xml:space="preserve"> </w:t>
      </w:r>
      <w:r w:rsidR="0043435F">
        <w:rPr>
          <w:rFonts w:ascii="Times New Roman" w:hAnsi="Times New Roman"/>
          <w:sz w:val="28"/>
          <w:szCs w:val="28"/>
        </w:rPr>
        <w:t>марта</w:t>
      </w:r>
      <w:r w:rsidR="00161F94" w:rsidRPr="00161F94">
        <w:rPr>
          <w:rFonts w:ascii="Times New Roman" w:hAnsi="Times New Roman"/>
          <w:sz w:val="28"/>
          <w:szCs w:val="28"/>
        </w:rPr>
        <w:t xml:space="preserve"> 202</w:t>
      </w:r>
      <w:r w:rsidR="0043435F">
        <w:rPr>
          <w:rFonts w:ascii="Times New Roman" w:hAnsi="Times New Roman"/>
          <w:sz w:val="28"/>
          <w:szCs w:val="28"/>
        </w:rPr>
        <w:t>5</w:t>
      </w:r>
      <w:r w:rsidR="00161F94" w:rsidRPr="00161F94">
        <w:rPr>
          <w:rFonts w:ascii="Times New Roman" w:hAnsi="Times New Roman"/>
          <w:sz w:val="28"/>
          <w:szCs w:val="28"/>
        </w:rPr>
        <w:t xml:space="preserve"> года.</w:t>
      </w:r>
    </w:p>
    <w:p w:rsidR="008E5206" w:rsidRDefault="008E520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06" w:rsidRPr="008E5206" w:rsidRDefault="008E5206" w:rsidP="008E5206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5206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BD5620">
        <w:rPr>
          <w:rFonts w:ascii="Times New Roman" w:hAnsi="Times New Roman"/>
          <w:b/>
          <w:sz w:val="28"/>
          <w:szCs w:val="28"/>
        </w:rPr>
        <w:t>внешней проверки:</w:t>
      </w:r>
    </w:p>
    <w:p w:rsidR="00161F94" w:rsidRDefault="00161F94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434037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496B50">
        <w:rPr>
          <w:rFonts w:ascii="Times New Roman" w:hAnsi="Times New Roman"/>
          <w:sz w:val="28"/>
          <w:szCs w:val="28"/>
        </w:rPr>
        <w:t>Телеутского</w:t>
      </w:r>
      <w:r w:rsidR="00161F94">
        <w:rPr>
          <w:rFonts w:ascii="Times New Roman" w:hAnsi="Times New Roman"/>
          <w:sz w:val="28"/>
          <w:szCs w:val="28"/>
        </w:rPr>
        <w:t xml:space="preserve"> </w:t>
      </w:r>
      <w:r w:rsidR="00D553AC" w:rsidRPr="00D553AC">
        <w:rPr>
          <w:rFonts w:ascii="Times New Roman" w:hAnsi="Times New Roman"/>
          <w:sz w:val="28"/>
          <w:szCs w:val="28"/>
        </w:rPr>
        <w:t xml:space="preserve">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</w:t>
      </w:r>
      <w:r w:rsidR="00161F94">
        <w:rPr>
          <w:rFonts w:ascii="Times New Roman" w:hAnsi="Times New Roman"/>
          <w:sz w:val="28"/>
          <w:szCs w:val="28"/>
        </w:rPr>
        <w:t xml:space="preserve"> Алтайского края</w:t>
      </w:r>
      <w:r w:rsidR="001E2164" w:rsidRPr="001A5411">
        <w:rPr>
          <w:rFonts w:ascii="Times New Roman" w:hAnsi="Times New Roman"/>
          <w:sz w:val="28"/>
          <w:szCs w:val="28"/>
        </w:rPr>
        <w:t xml:space="preserve">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23474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</w:t>
      </w:r>
      <w:r w:rsidR="00E761F9" w:rsidRPr="00E761F9">
        <w:rPr>
          <w:rFonts w:ascii="Times New Roman" w:hAnsi="Times New Roman"/>
          <w:sz w:val="28"/>
          <w:szCs w:val="28"/>
        </w:rPr>
        <w:t xml:space="preserve"> Администрации  Телеутского сельсовета Каменского района Алтайского края «Об исполнении бюджета Администрации за </w:t>
      </w:r>
      <w:r>
        <w:rPr>
          <w:rFonts w:ascii="Times New Roman" w:hAnsi="Times New Roman"/>
          <w:sz w:val="28"/>
          <w:szCs w:val="28"/>
        </w:rPr>
        <w:t>2024 год</w:t>
      </w:r>
      <w:r w:rsidR="00E761F9" w:rsidRPr="00E761F9">
        <w:rPr>
          <w:rFonts w:ascii="Times New Roman" w:hAnsi="Times New Roman"/>
          <w:sz w:val="28"/>
          <w:szCs w:val="28"/>
        </w:rPr>
        <w:t xml:space="preserve">» </w:t>
      </w:r>
      <w:r w:rsidR="00E761F9">
        <w:rPr>
          <w:rFonts w:ascii="Times New Roman" w:hAnsi="Times New Roman"/>
          <w:sz w:val="28"/>
          <w:szCs w:val="28"/>
        </w:rPr>
        <w:t>(далее</w:t>
      </w:r>
      <w:r w:rsidR="00233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233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решения</w:t>
      </w:r>
      <w:r w:rsidR="00E761F9">
        <w:rPr>
          <w:rFonts w:ascii="Times New Roman" w:hAnsi="Times New Roman"/>
          <w:sz w:val="28"/>
          <w:szCs w:val="28"/>
        </w:rPr>
        <w:t xml:space="preserve">) </w:t>
      </w:r>
      <w:r w:rsidR="001E2164" w:rsidRPr="001A5411">
        <w:rPr>
          <w:rFonts w:ascii="Times New Roman" w:hAnsi="Times New Roman"/>
          <w:sz w:val="28"/>
          <w:szCs w:val="28"/>
        </w:rPr>
        <w:t xml:space="preserve">передано в контрольно-счетную палату для </w:t>
      </w:r>
      <w:r w:rsidR="00BD5620">
        <w:rPr>
          <w:rFonts w:ascii="Times New Roman" w:hAnsi="Times New Roman"/>
          <w:sz w:val="28"/>
          <w:szCs w:val="28"/>
        </w:rPr>
        <w:t>внешней проверки</w:t>
      </w:r>
      <w:r w:rsidR="001E2164" w:rsidRPr="001A5411">
        <w:rPr>
          <w:rFonts w:ascii="Times New Roman" w:hAnsi="Times New Roman"/>
          <w:sz w:val="28"/>
          <w:szCs w:val="28"/>
        </w:rPr>
        <w:t xml:space="preserve">. Вместе с </w:t>
      </w:r>
      <w:r>
        <w:rPr>
          <w:rFonts w:ascii="Times New Roman" w:hAnsi="Times New Roman"/>
          <w:sz w:val="28"/>
          <w:szCs w:val="28"/>
        </w:rPr>
        <w:t>П</w:t>
      </w:r>
      <w:r w:rsidRPr="00234740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ом</w:t>
      </w:r>
      <w:r w:rsidRPr="00234740">
        <w:rPr>
          <w:rFonts w:ascii="Times New Roman" w:hAnsi="Times New Roman"/>
          <w:sz w:val="28"/>
          <w:szCs w:val="28"/>
        </w:rPr>
        <w:t xml:space="preserve"> решения</w:t>
      </w:r>
      <w:r w:rsidR="001E2164" w:rsidRPr="001A5411">
        <w:rPr>
          <w:rFonts w:ascii="Times New Roman" w:hAnsi="Times New Roman"/>
          <w:sz w:val="28"/>
          <w:szCs w:val="28"/>
        </w:rPr>
        <w:t xml:space="preserve"> представлены следующие документы: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1.</w:t>
      </w:r>
      <w:r w:rsidRPr="00B96AEC">
        <w:rPr>
          <w:rFonts w:ascii="Times New Roman" w:hAnsi="Times New Roman"/>
          <w:sz w:val="28"/>
          <w:szCs w:val="28"/>
        </w:rPr>
        <w:tab/>
        <w:t>Отчет об исполнении бюджета (форма 0503117)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2.</w:t>
      </w:r>
      <w:r w:rsidRPr="00B96AEC">
        <w:rPr>
          <w:rFonts w:ascii="Times New Roman" w:hAnsi="Times New Roman"/>
          <w:sz w:val="28"/>
          <w:szCs w:val="28"/>
        </w:rPr>
        <w:tab/>
        <w:t xml:space="preserve"> Баланс об исполнении бюджета (форма 0503120)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3.</w:t>
      </w:r>
      <w:r w:rsidRPr="00B96AEC">
        <w:rPr>
          <w:rFonts w:ascii="Times New Roman" w:hAnsi="Times New Roman"/>
          <w:sz w:val="28"/>
          <w:szCs w:val="28"/>
        </w:rPr>
        <w:tab/>
        <w:t>Отчет о финансовых результатах деятельности (форма 0503121)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4.</w:t>
      </w:r>
      <w:r w:rsidRPr="00B96AEC">
        <w:rPr>
          <w:rFonts w:ascii="Times New Roman" w:hAnsi="Times New Roman"/>
          <w:sz w:val="28"/>
          <w:szCs w:val="28"/>
        </w:rPr>
        <w:tab/>
        <w:t>Отчет о движении денежных средств (форма 0503123)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5.</w:t>
      </w:r>
      <w:r w:rsidRPr="00B96AEC">
        <w:rPr>
          <w:rFonts w:ascii="Times New Roman" w:hAnsi="Times New Roman"/>
          <w:sz w:val="28"/>
          <w:szCs w:val="28"/>
        </w:rPr>
        <w:tab/>
        <w:t>Справка по заключению сетов бюджетного учета отчетного финансового года (форма 0503110)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6.</w:t>
      </w:r>
      <w:r w:rsidRPr="00B96AEC">
        <w:rPr>
          <w:rFonts w:ascii="Times New Roman" w:hAnsi="Times New Roman"/>
          <w:sz w:val="28"/>
          <w:szCs w:val="28"/>
        </w:rPr>
        <w:tab/>
        <w:t>Отчет о кассовом поступлении  и выбытии бюджетных средств (форма 0503124)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7.</w:t>
      </w:r>
      <w:r w:rsidRPr="00B96AEC">
        <w:rPr>
          <w:rFonts w:ascii="Times New Roman" w:hAnsi="Times New Roman"/>
          <w:sz w:val="28"/>
          <w:szCs w:val="28"/>
        </w:rPr>
        <w:tab/>
        <w:t>Справка по консолидируемым расчетам (форма 0503125)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8.</w:t>
      </w:r>
      <w:r w:rsidRPr="00B96AEC">
        <w:rPr>
          <w:rFonts w:ascii="Times New Roman" w:hAnsi="Times New Roman"/>
          <w:sz w:val="28"/>
          <w:szCs w:val="28"/>
        </w:rPr>
        <w:tab/>
        <w:t>Баланс по поступлениям и выбытиям (форма 0503140)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9.</w:t>
      </w:r>
      <w:r w:rsidRPr="00B96AEC">
        <w:rPr>
          <w:rFonts w:ascii="Times New Roman" w:hAnsi="Times New Roman"/>
          <w:sz w:val="28"/>
          <w:szCs w:val="28"/>
        </w:rPr>
        <w:tab/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10.</w:t>
      </w:r>
      <w:r w:rsidRPr="00B96AEC">
        <w:rPr>
          <w:rFonts w:ascii="Times New Roman" w:hAnsi="Times New Roman"/>
          <w:sz w:val="28"/>
          <w:szCs w:val="28"/>
        </w:rPr>
        <w:tab/>
        <w:t xml:space="preserve"> Отчет о бюджетных обязательствах (форма 0503128) отчетом не  предусмотрено 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11.</w:t>
      </w:r>
      <w:r w:rsidRPr="00B96AEC">
        <w:rPr>
          <w:rFonts w:ascii="Times New Roman" w:hAnsi="Times New Roman"/>
          <w:sz w:val="28"/>
          <w:szCs w:val="28"/>
        </w:rPr>
        <w:tab/>
        <w:t xml:space="preserve"> Отчет об использовании межбюджетных трансфертов  из бюджета субъектов РФ 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12.</w:t>
      </w:r>
      <w:r w:rsidRPr="00B96AEC">
        <w:rPr>
          <w:rFonts w:ascii="Times New Roman" w:hAnsi="Times New Roman"/>
          <w:sz w:val="28"/>
          <w:szCs w:val="28"/>
        </w:rPr>
        <w:tab/>
        <w:t xml:space="preserve"> Оборотно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6AEC">
        <w:rPr>
          <w:rFonts w:ascii="Times New Roman" w:hAnsi="Times New Roman"/>
          <w:sz w:val="28"/>
          <w:szCs w:val="28"/>
        </w:rPr>
        <w:t>сальдовая ведомость за 2024 год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13.</w:t>
      </w:r>
      <w:r w:rsidRPr="00B96AEC">
        <w:rPr>
          <w:rFonts w:ascii="Times New Roman" w:hAnsi="Times New Roman"/>
          <w:sz w:val="28"/>
          <w:szCs w:val="28"/>
        </w:rPr>
        <w:tab/>
        <w:t xml:space="preserve"> Главная книга за 2024 год (в электронном виде)</w:t>
      </w:r>
    </w:p>
    <w:p w:rsidR="00B96AEC" w:rsidRP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14.</w:t>
      </w:r>
      <w:r w:rsidRPr="00B96AEC">
        <w:rPr>
          <w:rFonts w:ascii="Times New Roman" w:hAnsi="Times New Roman"/>
          <w:sz w:val="28"/>
          <w:szCs w:val="28"/>
        </w:rPr>
        <w:tab/>
        <w:t xml:space="preserve"> Сводная бюджетная роспись по состоянию на 1 января и 31 декабря  отчетного финансового года</w:t>
      </w:r>
    </w:p>
    <w:p w:rsidR="00B96AEC" w:rsidRDefault="00B96AEC" w:rsidP="00B96AE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AE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96AEC">
        <w:rPr>
          <w:rFonts w:ascii="Times New Roman" w:hAnsi="Times New Roman"/>
          <w:sz w:val="28"/>
          <w:szCs w:val="28"/>
        </w:rPr>
        <w:t>.</w:t>
      </w:r>
      <w:r w:rsidRPr="00B96AEC">
        <w:rPr>
          <w:rFonts w:ascii="Times New Roman" w:hAnsi="Times New Roman"/>
          <w:sz w:val="28"/>
          <w:szCs w:val="28"/>
        </w:rPr>
        <w:tab/>
        <w:t xml:space="preserve"> Проект решения об исполнении бюджета за 2024 год с приложениями</w:t>
      </w:r>
      <w:r>
        <w:rPr>
          <w:rFonts w:ascii="Times New Roman" w:hAnsi="Times New Roman"/>
          <w:sz w:val="28"/>
          <w:szCs w:val="28"/>
        </w:rPr>
        <w:t>.</w:t>
      </w:r>
    </w:p>
    <w:p w:rsidR="001358E6" w:rsidRPr="009A7F31" w:rsidRDefault="001358E6" w:rsidP="00B96AE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C4A56" w:rsidRPr="002A409D" w:rsidRDefault="00EC4A56" w:rsidP="002032D9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4D68F4">
        <w:rPr>
          <w:rFonts w:ascii="Times New Roman" w:hAnsi="Times New Roman"/>
          <w:b/>
          <w:sz w:val="28"/>
          <w:szCs w:val="28"/>
        </w:rPr>
        <w:t xml:space="preserve"> бюджета Администрации </w:t>
      </w:r>
      <w:r w:rsidR="00496B50">
        <w:rPr>
          <w:rFonts w:ascii="Times New Roman" w:hAnsi="Times New Roman"/>
          <w:b/>
          <w:sz w:val="28"/>
          <w:szCs w:val="28"/>
        </w:rPr>
        <w:t>Телеутского</w:t>
      </w:r>
      <w:r w:rsidR="00BD5620">
        <w:rPr>
          <w:rFonts w:ascii="Times New Roman" w:hAnsi="Times New Roman"/>
          <w:b/>
          <w:sz w:val="28"/>
          <w:szCs w:val="28"/>
        </w:rPr>
        <w:t xml:space="preserve"> </w:t>
      </w:r>
      <w:r w:rsidR="00E563A7">
        <w:rPr>
          <w:rFonts w:ascii="Times New Roman" w:hAnsi="Times New Roman"/>
          <w:b/>
          <w:sz w:val="28"/>
          <w:szCs w:val="28"/>
        </w:rPr>
        <w:t>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202</w:t>
      </w:r>
      <w:r w:rsidR="00BB117D">
        <w:rPr>
          <w:rFonts w:ascii="Times New Roman" w:hAnsi="Times New Roman"/>
          <w:b/>
          <w:sz w:val="28"/>
          <w:szCs w:val="28"/>
        </w:rPr>
        <w:t>4</w:t>
      </w:r>
      <w:r w:rsidR="002032D9">
        <w:rPr>
          <w:rFonts w:ascii="Times New Roman" w:hAnsi="Times New Roman"/>
          <w:b/>
          <w:sz w:val="28"/>
          <w:szCs w:val="28"/>
        </w:rPr>
        <w:t xml:space="preserve"> год</w:t>
      </w:r>
      <w:r w:rsidR="00BB117D" w:rsidRPr="00BB117D">
        <w:rPr>
          <w:rFonts w:ascii="Times New Roman" w:hAnsi="Times New Roman"/>
          <w:b/>
          <w:sz w:val="28"/>
          <w:szCs w:val="28"/>
        </w:rPr>
        <w:t>.</w:t>
      </w:r>
    </w:p>
    <w:p w:rsidR="00BD5620" w:rsidRDefault="00F42A32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03D67">
        <w:rPr>
          <w:rFonts w:ascii="Times New Roman" w:hAnsi="Times New Roman"/>
          <w:sz w:val="28"/>
          <w:szCs w:val="28"/>
          <w:lang w:eastAsia="ru-RU"/>
        </w:rPr>
        <w:t>Р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ешением </w:t>
      </w:r>
      <w:r w:rsidR="00496B50">
        <w:rPr>
          <w:rFonts w:ascii="Times New Roman" w:hAnsi="Times New Roman"/>
          <w:sz w:val="28"/>
          <w:szCs w:val="28"/>
          <w:lang w:eastAsia="ru-RU"/>
        </w:rPr>
        <w:t>Телеутского</w:t>
      </w:r>
      <w:r w:rsidR="00BD56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434037">
        <w:rPr>
          <w:rFonts w:ascii="Times New Roman" w:hAnsi="Times New Roman"/>
          <w:sz w:val="28"/>
          <w:szCs w:val="28"/>
          <w:lang w:eastAsia="ru-RU"/>
        </w:rPr>
        <w:t>9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34037">
        <w:rPr>
          <w:rFonts w:ascii="Times New Roman" w:hAnsi="Times New Roman"/>
          <w:sz w:val="28"/>
          <w:szCs w:val="28"/>
          <w:lang w:eastAsia="ru-RU"/>
        </w:rPr>
        <w:t>45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«О бюджете муниципального образования Телеутский сельсовет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>Каменского района Алтайского края на 2024 год и на плановый период 2025 и 2026 годов»</w:t>
      </w:r>
      <w:r w:rsidR="00003D67">
        <w:rPr>
          <w:rFonts w:ascii="Times New Roman" w:hAnsi="Times New Roman"/>
          <w:sz w:val="28"/>
          <w:szCs w:val="28"/>
          <w:lang w:eastAsia="ru-RU"/>
        </w:rPr>
        <w:t xml:space="preserve"> (с учетом изменений) утверждены</w:t>
      </w:r>
      <w:r w:rsidR="00434037">
        <w:rPr>
          <w:rFonts w:ascii="Times New Roman" w:hAnsi="Times New Roman"/>
          <w:sz w:val="28"/>
          <w:szCs w:val="28"/>
          <w:lang w:eastAsia="ru-RU"/>
        </w:rPr>
        <w:t>:</w:t>
      </w:r>
      <w:r w:rsidR="002E26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4037" w:rsidRPr="00434037" w:rsidRDefault="0018290F" w:rsidP="002E2608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620">
        <w:rPr>
          <w:rFonts w:ascii="Times New Roman" w:hAnsi="Times New Roman"/>
          <w:sz w:val="28"/>
          <w:szCs w:val="28"/>
          <w:lang w:eastAsia="ru-RU"/>
        </w:rPr>
        <w:t>1)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общий объем доходов бюджета поселения в сумме </w:t>
      </w:r>
      <w:r w:rsidR="00003D67">
        <w:rPr>
          <w:rFonts w:ascii="Times New Roman" w:hAnsi="Times New Roman"/>
          <w:sz w:val="28"/>
          <w:szCs w:val="28"/>
          <w:lang w:eastAsia="ru-RU"/>
        </w:rPr>
        <w:t>2826,9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>1 тыс. рублей</w:t>
      </w:r>
      <w:r w:rsidR="00003D67">
        <w:rPr>
          <w:rFonts w:ascii="Times New Roman" w:hAnsi="Times New Roman"/>
          <w:sz w:val="28"/>
          <w:szCs w:val="28"/>
          <w:lang w:eastAsia="ru-RU"/>
        </w:rPr>
        <w:t>;</w:t>
      </w:r>
    </w:p>
    <w:p w:rsidR="00434037" w:rsidRPr="00434037" w:rsidRDefault="0043403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037">
        <w:rPr>
          <w:rFonts w:ascii="Times New Roman" w:hAnsi="Times New Roman"/>
          <w:sz w:val="28"/>
          <w:szCs w:val="28"/>
          <w:lang w:eastAsia="ru-RU"/>
        </w:rPr>
        <w:t xml:space="preserve">2) общий объем расходов бюджета поселения в сумме </w:t>
      </w:r>
      <w:r w:rsidR="00003D67">
        <w:rPr>
          <w:rFonts w:ascii="Times New Roman" w:hAnsi="Times New Roman"/>
          <w:sz w:val="28"/>
          <w:szCs w:val="28"/>
          <w:lang w:eastAsia="ru-RU"/>
        </w:rPr>
        <w:t>3161,9</w:t>
      </w:r>
      <w:r w:rsidRPr="00434037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BE711A" w:rsidRDefault="00003D67" w:rsidP="0043403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) дефицит бюджета поселения в сумме </w:t>
      </w:r>
      <w:r>
        <w:rPr>
          <w:rFonts w:ascii="Times New Roman" w:hAnsi="Times New Roman"/>
          <w:sz w:val="28"/>
          <w:szCs w:val="28"/>
          <w:lang w:eastAsia="ru-RU"/>
        </w:rPr>
        <w:t>335,0</w:t>
      </w:r>
      <w:r w:rsidR="00434037" w:rsidRPr="00434037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434037" w:rsidRDefault="002E2608" w:rsidP="00311E57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340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2E2608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2024 год, согласно данным отчетности, составили:</w:t>
      </w:r>
    </w:p>
    <w:p w:rsidR="002E2608" w:rsidRP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 - общий объем доходов в сумме </w:t>
      </w:r>
      <w:r w:rsidR="00311E57">
        <w:rPr>
          <w:rFonts w:ascii="Times New Roman" w:hAnsi="Times New Roman"/>
          <w:sz w:val="28"/>
          <w:szCs w:val="28"/>
          <w:lang w:eastAsia="ru-RU"/>
        </w:rPr>
        <w:t>2833,6</w:t>
      </w: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2E2608" w:rsidRPr="002E2608" w:rsidRDefault="008A364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- общий объем расходов в сумме </w:t>
      </w:r>
      <w:r w:rsidR="00311E57">
        <w:rPr>
          <w:rFonts w:ascii="Times New Roman" w:hAnsi="Times New Roman"/>
          <w:sz w:val="28"/>
          <w:szCs w:val="28"/>
          <w:lang w:eastAsia="ru-RU"/>
        </w:rPr>
        <w:t>3156,9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9C2F67" w:rsidRDefault="008A364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о исполнению бюджета поселения сложился </w:t>
      </w:r>
      <w:r w:rsidR="005E010E">
        <w:rPr>
          <w:rFonts w:ascii="Times New Roman" w:hAnsi="Times New Roman"/>
          <w:sz w:val="28"/>
          <w:szCs w:val="28"/>
          <w:lang w:eastAsia="ru-RU"/>
        </w:rPr>
        <w:t>дефицит</w:t>
      </w:r>
      <w:r w:rsidR="002E2608" w:rsidRPr="002E2608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311E57">
        <w:rPr>
          <w:rFonts w:ascii="Times New Roman" w:hAnsi="Times New Roman"/>
          <w:sz w:val="28"/>
          <w:szCs w:val="28"/>
          <w:lang w:eastAsia="ru-RU"/>
        </w:rPr>
        <w:t>323,3</w:t>
      </w:r>
    </w:p>
    <w:p w:rsidR="002E2608" w:rsidRDefault="002E2608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60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9C2F67" w:rsidRPr="00115136" w:rsidRDefault="009C2F67" w:rsidP="00F21DAE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2608" w:rsidRPr="008839E8" w:rsidRDefault="002E2608" w:rsidP="008839E8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839E8">
        <w:rPr>
          <w:rFonts w:ascii="Times New Roman" w:hAnsi="Times New Roman"/>
          <w:b/>
          <w:sz w:val="28"/>
          <w:szCs w:val="28"/>
          <w:lang w:eastAsia="ru-RU"/>
        </w:rPr>
        <w:t xml:space="preserve">Изменения основных параметров бюджета поселения за </w:t>
      </w:r>
      <w:r w:rsidR="00EA006C">
        <w:rPr>
          <w:rFonts w:ascii="Times New Roman" w:hAnsi="Times New Roman"/>
          <w:b/>
          <w:sz w:val="28"/>
          <w:szCs w:val="28"/>
          <w:lang w:eastAsia="ru-RU"/>
        </w:rPr>
        <w:t>2024 год</w:t>
      </w:r>
      <w:r w:rsidRPr="008839E8">
        <w:rPr>
          <w:rFonts w:ascii="Times New Roman" w:hAnsi="Times New Roman"/>
          <w:b/>
          <w:sz w:val="28"/>
          <w:szCs w:val="28"/>
          <w:lang w:eastAsia="ru-RU"/>
        </w:rPr>
        <w:t xml:space="preserve"> представлены в таблице № 1.</w:t>
      </w: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692"/>
        <w:gridCol w:w="1276"/>
        <w:gridCol w:w="1276"/>
        <w:gridCol w:w="992"/>
        <w:gridCol w:w="992"/>
      </w:tblGrid>
      <w:tr w:rsidR="00C653FA" w:rsidRPr="002A409D" w:rsidTr="00EA006C">
        <w:trPr>
          <w:trHeight w:val="676"/>
        </w:trPr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FA" w:rsidRPr="002E2608" w:rsidRDefault="00C653FA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Основные показатели</w:t>
            </w:r>
          </w:p>
          <w:p w:rsidR="00C653FA" w:rsidRPr="002A409D" w:rsidRDefault="00C653FA" w:rsidP="002E26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E260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за 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C653FA" w:rsidRPr="002A409D" w:rsidRDefault="00C653FA" w:rsidP="00EC728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Действующее решение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53FA" w:rsidRPr="002A409D" w:rsidRDefault="00C653FA" w:rsidP="00EA006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Фактическое исполнение за 2024г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2A409D" w:rsidRDefault="00C653FA" w:rsidP="0007001A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Исполнение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действующему решению</w:t>
            </w:r>
            <w:r w:rsidRPr="009415B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653FA" w:rsidRPr="002A409D" w:rsidTr="00EA006C">
        <w:trPr>
          <w:trHeight w:val="218"/>
        </w:trPr>
        <w:tc>
          <w:tcPr>
            <w:tcW w:w="46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53FA" w:rsidRPr="002A409D" w:rsidRDefault="00C653FA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C653FA" w:rsidRPr="002A409D" w:rsidRDefault="00C653FA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2A409D" w:rsidRDefault="00C653FA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53FA" w:rsidRPr="00F97FE8" w:rsidRDefault="00C653FA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C653FA" w:rsidRPr="00F97FE8" w:rsidRDefault="00C653FA" w:rsidP="00F97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  <w:tr w:rsidR="00C653FA" w:rsidRPr="002A409D" w:rsidTr="00EA006C">
        <w:trPr>
          <w:trHeight w:val="218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E31A77" w:rsidRDefault="00C653FA" w:rsidP="002E260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31A77">
              <w:rPr>
                <w:rFonts w:ascii="Times New Roman" w:eastAsia="Times New Roman" w:hAnsi="Times New Roman"/>
                <w:b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EA006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2826,9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FA" w:rsidRPr="002A409D" w:rsidRDefault="00EA006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2833,6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653FA" w:rsidRPr="002A409D" w:rsidRDefault="00EA006C" w:rsidP="00EC728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+6,7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Pr="002A409D" w:rsidRDefault="00815A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100,2</w:t>
            </w:r>
          </w:p>
        </w:tc>
      </w:tr>
      <w:tr w:rsidR="00C653FA" w:rsidRPr="002A409D" w:rsidTr="00EA006C">
        <w:trPr>
          <w:trHeight w:val="218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53FA" w:rsidRPr="00F97FE8" w:rsidRDefault="00C65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97FE8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3FA" w:rsidRDefault="00EA006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3161,9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3FA" w:rsidRPr="002A409D" w:rsidRDefault="00EA006C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653FA" w:rsidRPr="002A409D" w:rsidRDefault="00815A9D" w:rsidP="00B90F5D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C653FA" w:rsidRPr="002A409D" w:rsidRDefault="00815A9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99,8</w:t>
            </w:r>
          </w:p>
        </w:tc>
      </w:tr>
      <w:tr w:rsidR="00C653FA" w:rsidRPr="002A409D" w:rsidTr="00EA006C">
        <w:trPr>
          <w:trHeight w:val="369"/>
        </w:trPr>
        <w:tc>
          <w:tcPr>
            <w:tcW w:w="4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5E010E" w:rsidRDefault="00C653FA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Дефици</w:t>
            </w:r>
            <w:proofErr w:type="gramStart"/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т(</w:t>
            </w:r>
            <w:proofErr w:type="gramEnd"/>
            <w:r w:rsidRPr="005E010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-) Профицит(+)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653FA" w:rsidRDefault="00C653FA" w:rsidP="005E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EA006C">
              <w:rPr>
                <w:rFonts w:ascii="Times New Roman" w:hAnsi="Times New Roman"/>
                <w:sz w:val="16"/>
                <w:szCs w:val="16"/>
              </w:rPr>
              <w:t>335,0</w:t>
            </w:r>
          </w:p>
          <w:p w:rsidR="00C653FA" w:rsidRPr="00F97FE8" w:rsidRDefault="00C653FA" w:rsidP="005E01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653FA" w:rsidRPr="002A409D" w:rsidRDefault="00C653FA" w:rsidP="00EA00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="00EA006C">
              <w:rPr>
                <w:rFonts w:ascii="Times New Roman" w:hAnsi="Times New Roman"/>
                <w:b/>
                <w:sz w:val="16"/>
                <w:szCs w:val="16"/>
              </w:rPr>
              <w:t>323,3,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C653FA" w:rsidRPr="002A409D" w:rsidRDefault="00C653FA" w:rsidP="005E010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C653FA" w:rsidRPr="002A409D" w:rsidRDefault="00C653FA" w:rsidP="005E010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</w:p>
        </w:tc>
      </w:tr>
    </w:tbl>
    <w:p w:rsidR="00F15ABB" w:rsidRPr="004709B3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96F42" w:rsidRPr="004709B3" w:rsidRDefault="00B96F42" w:rsidP="00B96F42">
      <w:pPr>
        <w:tabs>
          <w:tab w:val="left" w:pos="567"/>
          <w:tab w:val="left" w:pos="709"/>
        </w:tabs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09B3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</w:p>
    <w:p w:rsidR="00B96F42" w:rsidRPr="004709B3" w:rsidRDefault="00B96F42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9B3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B96F42" w:rsidRDefault="00B96F42" w:rsidP="009F1EAB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709B3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813BE3" w:rsidRPr="00D1239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813BE3" w:rsidRPr="00D1239A">
        <w:rPr>
          <w:rFonts w:ascii="Times New Roman" w:eastAsia="Times New Roman" w:hAnsi="Times New Roman"/>
          <w:sz w:val="28"/>
          <w:szCs w:val="28"/>
          <w:lang w:eastAsia="ru-RU"/>
        </w:rPr>
        <w:t>Исполнение бюджета</w:t>
      </w:r>
      <w:r w:rsidR="00663201"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813BE3"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D1239A" w:rsidRPr="00D1239A">
        <w:rPr>
          <w:rFonts w:ascii="Times New Roman" w:eastAsia="Times New Roman" w:hAnsi="Times New Roman"/>
          <w:sz w:val="28"/>
          <w:szCs w:val="28"/>
          <w:lang w:eastAsia="ru-RU"/>
        </w:rPr>
        <w:t>2024 год</w:t>
      </w:r>
      <w:r w:rsidR="00813BE3"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составило </w:t>
      </w:r>
      <w:r w:rsidR="00D1239A"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2833,6 </w:t>
      </w:r>
      <w:r w:rsidR="00813BE3"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D1239A" w:rsidRPr="00D1239A">
        <w:rPr>
          <w:rFonts w:ascii="Times New Roman" w:eastAsia="Times New Roman" w:hAnsi="Times New Roman"/>
          <w:sz w:val="28"/>
          <w:szCs w:val="28"/>
          <w:lang w:eastAsia="ru-RU"/>
        </w:rPr>
        <w:t>100,2</w:t>
      </w:r>
      <w:r w:rsidR="00813BE3"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4709B3" w:rsidRPr="00D1239A">
        <w:rPr>
          <w:rFonts w:ascii="Times New Roman" w:eastAsia="Times New Roman" w:hAnsi="Times New Roman"/>
          <w:sz w:val="28"/>
          <w:szCs w:val="28"/>
          <w:lang w:eastAsia="ru-RU"/>
        </w:rPr>
        <w:t>уточненного плана.</w:t>
      </w:r>
    </w:p>
    <w:p w:rsidR="00D1239A" w:rsidRPr="00D1239A" w:rsidRDefault="00D1239A" w:rsidP="00D1239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23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Налоговых доходов </w:t>
      </w:r>
      <w:r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за 2024 год поступило в бюджет сельского поселения в сумме </w:t>
      </w:r>
      <w:r w:rsidR="00164E6C">
        <w:rPr>
          <w:rFonts w:ascii="Times New Roman" w:eastAsia="Times New Roman" w:hAnsi="Times New Roman"/>
          <w:sz w:val="28"/>
          <w:szCs w:val="28"/>
          <w:lang w:eastAsia="ru-RU"/>
        </w:rPr>
        <w:t>446,5</w:t>
      </w:r>
      <w:r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164E6C">
        <w:rPr>
          <w:rFonts w:ascii="Times New Roman" w:eastAsia="Times New Roman" w:hAnsi="Times New Roman"/>
          <w:sz w:val="28"/>
          <w:szCs w:val="28"/>
          <w:lang w:eastAsia="ru-RU"/>
        </w:rPr>
        <w:t>101,5</w:t>
      </w:r>
      <w:r w:rsidRPr="00D1239A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D1239A" w:rsidRDefault="00D1239A" w:rsidP="00D1239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Структура налоговых поступлений представлена в диаграмме №1</w:t>
      </w:r>
    </w:p>
    <w:p w:rsidR="00BD66CB" w:rsidRPr="00BD66CB" w:rsidRDefault="00BD66CB" w:rsidP="00D1239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66CB" w:rsidRPr="00BD66CB" w:rsidRDefault="00BD66CB" w:rsidP="00D1239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6CB" w:rsidRDefault="00BD66CB" w:rsidP="00D1239A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90A" w:rsidRPr="0000290A" w:rsidRDefault="0000290A" w:rsidP="0000290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290A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00290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налоговых доходов</w:t>
      </w:r>
    </w:p>
    <w:p w:rsidR="0000290A" w:rsidRPr="0000290A" w:rsidRDefault="0000290A" w:rsidP="0000290A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90A" w:rsidRPr="0000290A" w:rsidRDefault="0000290A" w:rsidP="0000290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00290A" w:rsidRPr="0000290A" w:rsidRDefault="0000290A" w:rsidP="0000290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доходы при плане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440,0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на год поступили в бюджет поселения в объеме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446,5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101,5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>% к плану).</w:t>
      </w:r>
    </w:p>
    <w:p w:rsidR="00BD66CB" w:rsidRPr="0000290A" w:rsidRDefault="0000290A" w:rsidP="0000290A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наибольший удельный вес в сумме налоговых поступлений занимает: Земельный налог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387,5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101,9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380,0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Налог на доходы физических лиц –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5,6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112,0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уточненных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рублей. Единый сельскохозяйственный налог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13,2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101,5%</w:t>
      </w:r>
      <w:r w:rsidRPr="000029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66CB" w:rsidRDefault="00BD66CB" w:rsidP="00D1239A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62D1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="00C45040"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Неналоговы</w:t>
      </w:r>
      <w:r w:rsidR="00C45040">
        <w:rPr>
          <w:rFonts w:ascii="Times New Roman" w:eastAsia="Times New Roman" w:hAnsi="Times New Roman"/>
          <w:b/>
          <w:sz w:val="28"/>
          <w:szCs w:val="28"/>
          <w:lang w:eastAsia="ru-RU"/>
        </w:rPr>
        <w:t>х</w:t>
      </w:r>
      <w:r w:rsidR="00C45040" w:rsidRPr="00C450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доход</w:t>
      </w:r>
      <w:r w:rsidR="00C4504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C450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462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бюджет 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9462D1">
        <w:rPr>
          <w:rFonts w:ascii="Times New Roman" w:eastAsia="Times New Roman" w:hAnsi="Times New Roman"/>
          <w:sz w:val="28"/>
          <w:szCs w:val="28"/>
          <w:lang w:eastAsia="ru-RU"/>
        </w:rPr>
        <w:t>26,3</w:t>
      </w:r>
      <w:r w:rsidR="00717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9462D1">
        <w:rPr>
          <w:rFonts w:ascii="Times New Roman" w:eastAsia="Times New Roman" w:hAnsi="Times New Roman"/>
          <w:sz w:val="28"/>
          <w:szCs w:val="28"/>
          <w:lang w:eastAsia="ru-RU"/>
        </w:rPr>
        <w:t>101,2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</w:t>
      </w:r>
      <w:r w:rsidR="00DE6136">
        <w:rPr>
          <w:rFonts w:ascii="Times New Roman" w:eastAsia="Times New Roman" w:hAnsi="Times New Roman"/>
          <w:sz w:val="28"/>
          <w:szCs w:val="28"/>
          <w:lang w:eastAsia="ru-RU"/>
        </w:rPr>
        <w:t>утвержденных годовых назначений</w:t>
      </w:r>
      <w:r w:rsidR="00C45040" w:rsidRPr="00C450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4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2D1" w:rsidRPr="009462D1">
        <w:rPr>
          <w:rFonts w:ascii="Times New Roman" w:eastAsia="Times New Roman" w:hAnsi="Times New Roman"/>
          <w:sz w:val="28"/>
          <w:szCs w:val="28"/>
          <w:lang w:eastAsia="ru-RU"/>
        </w:rPr>
        <w:t>Структура неналоговых поступлений представлена в диаграмме</w:t>
      </w:r>
    </w:p>
    <w:p w:rsidR="00AA0EA2" w:rsidRDefault="009462D1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2D1"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2D1" w:rsidRDefault="009462D1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14BC" w:rsidRDefault="003D14BC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14BC" w:rsidRPr="003D14BC" w:rsidRDefault="003D14BC" w:rsidP="003D14BC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14BC">
        <w:rPr>
          <w:rFonts w:ascii="Times New Roman" w:eastAsia="Times New Roman" w:hAnsi="Times New Roman"/>
          <w:b/>
          <w:sz w:val="28"/>
          <w:szCs w:val="28"/>
          <w:lang w:eastAsia="ru-RU"/>
        </w:rPr>
        <w:t>2.2.</w:t>
      </w:r>
      <w:r w:rsidRPr="003D14BC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поступления неналоговых доходов</w:t>
      </w:r>
    </w:p>
    <w:p w:rsidR="003D14BC" w:rsidRPr="003D14BC" w:rsidRDefault="003D14BC" w:rsidP="003D14B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9462D1" w:rsidRDefault="003D14BC" w:rsidP="003D14B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Неналоговые доходы при плане на 2024 год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26,0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26,3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101,2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>%).  В 2024 году наибольший удельный вес в сумме неналоговых поступлений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65,8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9%) занимают </w:t>
      </w:r>
      <w:r w:rsidR="00EA0FFE" w:rsidRPr="00EA0FFE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A0FF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A0FFE" w:rsidRPr="00EA0FFE">
        <w:rPr>
          <w:rFonts w:ascii="Times New Roman" w:eastAsia="Times New Roman" w:hAnsi="Times New Roman"/>
          <w:sz w:val="28"/>
          <w:szCs w:val="28"/>
          <w:lang w:eastAsia="ru-RU"/>
        </w:rPr>
        <w:t>ходы от сдачи в аренду имущества, находящегося в оперативном управлении органов управления сельских поселений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 - исполнение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17,3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101,8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бюджетных назначений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17,0</w:t>
      </w:r>
      <w:r w:rsidRPr="003D14B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9462D1" w:rsidRDefault="009462D1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2D1" w:rsidRPr="00C45040" w:rsidRDefault="009462D1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  <w:r w:rsidR="00B633DA"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FA3190" w:rsidRPr="00B633DA" w:rsidRDefault="00FA3190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9F1EAB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от других бюджетов бюджетной системы Российской Федерации в течени</w:t>
      </w:r>
      <w:proofErr w:type="gramStart"/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633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 субсидий бюджетам бюджетной системы Российской Федерации;</w:t>
      </w:r>
    </w:p>
    <w:p w:rsidR="00B633DA" w:rsidRPr="00B633DA" w:rsidRDefault="00B633DA" w:rsidP="009F1EAB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межбюджетных трансфертов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системы Российской Федерации.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319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в таблице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711" w:rsidRPr="00353589" w:rsidRDefault="00F82736" w:rsidP="00F82736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Таблица №2                                                                                                                                          </w:t>
      </w:r>
      <w:r w:rsid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</w:t>
      </w:r>
      <w:r w:rsidRPr="00353589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тыс. 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192"/>
        <w:gridCol w:w="1726"/>
        <w:gridCol w:w="1556"/>
        <w:gridCol w:w="956"/>
      </w:tblGrid>
      <w:tr w:rsidR="00B633DA" w:rsidTr="00025878">
        <w:tc>
          <w:tcPr>
            <w:tcW w:w="5192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726" w:type="dxa"/>
            <w:vMerge w:val="restart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Бюджетные назначения </w:t>
            </w: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 2024 год</w:t>
            </w:r>
          </w:p>
        </w:tc>
        <w:tc>
          <w:tcPr>
            <w:tcW w:w="2512" w:type="dxa"/>
            <w:gridSpan w:val="2"/>
            <w:vAlign w:val="center"/>
          </w:tcPr>
          <w:p w:rsidR="00B633DA" w:rsidRPr="007E5079" w:rsidRDefault="00B633DA" w:rsidP="00FA3190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Исполнено за </w:t>
            </w:r>
            <w:r w:rsidR="00FA31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год</w:t>
            </w:r>
          </w:p>
        </w:tc>
      </w:tr>
      <w:tr w:rsidR="00B633DA" w:rsidTr="00025878">
        <w:tc>
          <w:tcPr>
            <w:tcW w:w="5192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vMerge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956" w:type="dxa"/>
            <w:vAlign w:val="center"/>
          </w:tcPr>
          <w:p w:rsidR="00B633DA" w:rsidRPr="007E5079" w:rsidRDefault="00B633DA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B633DA" w:rsidP="00B633DA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E50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1726" w:type="dxa"/>
            <w:vAlign w:val="center"/>
          </w:tcPr>
          <w:p w:rsidR="00B633DA" w:rsidRPr="007E5079" w:rsidRDefault="00D53E48" w:rsidP="00D53E48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2360,9</w:t>
            </w:r>
          </w:p>
        </w:tc>
        <w:tc>
          <w:tcPr>
            <w:tcW w:w="155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2360,9</w:t>
            </w:r>
          </w:p>
        </w:tc>
        <w:tc>
          <w:tcPr>
            <w:tcW w:w="95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025878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26" w:type="dxa"/>
            <w:vAlign w:val="center"/>
          </w:tcPr>
          <w:p w:rsidR="00B633DA" w:rsidRPr="00025878" w:rsidRDefault="0002587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1556" w:type="dxa"/>
            <w:vAlign w:val="center"/>
          </w:tcPr>
          <w:p w:rsidR="00B633DA" w:rsidRPr="00025878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62,6</w:t>
            </w:r>
          </w:p>
        </w:tc>
        <w:tc>
          <w:tcPr>
            <w:tcW w:w="956" w:type="dxa"/>
            <w:vAlign w:val="center"/>
          </w:tcPr>
          <w:p w:rsidR="00B633DA" w:rsidRPr="00025878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A644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2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155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95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633DA" w:rsidTr="00025878">
        <w:tc>
          <w:tcPr>
            <w:tcW w:w="5192" w:type="dxa"/>
            <w:vAlign w:val="center"/>
          </w:tcPr>
          <w:p w:rsidR="00B633DA" w:rsidRPr="007E5079" w:rsidRDefault="00025878" w:rsidP="00B633D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vAlign w:val="center"/>
          </w:tcPr>
          <w:p w:rsidR="00B633DA" w:rsidRPr="007E5079" w:rsidRDefault="00D53E48" w:rsidP="00786D61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1295,7</w:t>
            </w:r>
          </w:p>
        </w:tc>
        <w:tc>
          <w:tcPr>
            <w:tcW w:w="155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1295,7</w:t>
            </w:r>
          </w:p>
        </w:tc>
        <w:tc>
          <w:tcPr>
            <w:tcW w:w="956" w:type="dxa"/>
            <w:vAlign w:val="center"/>
          </w:tcPr>
          <w:p w:rsidR="00B633DA" w:rsidRPr="007E5079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B95298" w:rsidTr="00025878">
        <w:tc>
          <w:tcPr>
            <w:tcW w:w="5192" w:type="dxa"/>
            <w:vAlign w:val="bottom"/>
          </w:tcPr>
          <w:p w:rsidR="00B95298" w:rsidRPr="00025878" w:rsidRDefault="00BA6441" w:rsidP="00F8273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58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26" w:type="dxa"/>
            <w:vAlign w:val="center"/>
          </w:tcPr>
          <w:p w:rsidR="00B95298" w:rsidRPr="00025878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956,2</w:t>
            </w:r>
          </w:p>
        </w:tc>
        <w:tc>
          <w:tcPr>
            <w:tcW w:w="1556" w:type="dxa"/>
            <w:vAlign w:val="center"/>
          </w:tcPr>
          <w:p w:rsidR="00B95298" w:rsidRPr="00025878" w:rsidRDefault="00D53E48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956,2</w:t>
            </w:r>
          </w:p>
        </w:tc>
        <w:tc>
          <w:tcPr>
            <w:tcW w:w="956" w:type="dxa"/>
            <w:vAlign w:val="center"/>
          </w:tcPr>
          <w:p w:rsidR="00B95298" w:rsidRPr="00025878" w:rsidRDefault="00786D61" w:rsidP="00B633D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156F48" w:rsidRDefault="00156F48" w:rsidP="00156F48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6F48" w:rsidRPr="00156F48" w:rsidRDefault="00156F48" w:rsidP="00156F48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6F48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156F48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156F48" w:rsidRPr="00156F48" w:rsidRDefault="00156F48" w:rsidP="00156F48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09B3" w:rsidRDefault="004709B3" w:rsidP="004709B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Решением Телеутского сельского Совета депутатов Каменского района Алтайского края  от 29.12.2023 №</w:t>
      </w:r>
      <w:r w:rsidR="007E1F23"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45 «О бюджете муниципального образования Телеутский сельсовет Каменского района Алтайского края на 2024 год и на плановый период 2025 и 2026 годов» (с учетом изменений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 в бюджет сельского поселения планировались в сумме 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2360,9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поступление в отчетном периоде составило 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2360,96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100,0</w:t>
      </w:r>
      <w:r w:rsidRPr="00AA0EA2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DF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 видом финансовой помощи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Телеутского </w:t>
      </w:r>
      <w:r w:rsidRPr="00954DF4">
        <w:rPr>
          <w:rFonts w:ascii="Times New Roman" w:eastAsia="Times New Roman" w:hAnsi="Times New Roman"/>
          <w:sz w:val="28"/>
          <w:szCs w:val="28"/>
          <w:lang w:eastAsia="ru-RU"/>
        </w:rPr>
        <w:t>сельсовета Каменского района Алтайского края из районного бюджета являются безвозмездные поступления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54D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которых: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-Прочие межбюджетные трансферты, передаваемые бюджетам сельских поселений в сумме 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956,2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40,5% от суммы безвозмездных поступлений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твии заключенными соглашениями  составили сумму 1295,7</w:t>
      </w:r>
      <w:r w:rsidR="00156F48" w:rsidRPr="00156F48">
        <w:t xml:space="preserve"> </w:t>
      </w:r>
      <w:r w:rsidR="00156F48" w:rsidRPr="00156F4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45,7% от суммы </w:t>
      </w:r>
      <w:r w:rsidR="00156F48" w:rsidRPr="00156F48">
        <w:rPr>
          <w:rFonts w:ascii="Times New Roman" w:eastAsia="Times New Roman" w:hAnsi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4DF4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 </w:t>
      </w:r>
      <w:r w:rsidR="00AA0E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муниципальных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 xml:space="preserve">  и городских округо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составили сумму 46,4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1,9% от </w:t>
      </w:r>
      <w:r w:rsidR="00156F48" w:rsidRPr="00156F48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A0EA2" w:rsidRDefault="00954DF4" w:rsidP="00AA0EA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Дотации на выравнивание бюджетной обеспеченности в сумме -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27136B">
        <w:rPr>
          <w:rFonts w:ascii="Times New Roman" w:eastAsia="Times New Roman" w:hAnsi="Times New Roman"/>
          <w:sz w:val="28"/>
          <w:szCs w:val="28"/>
          <w:lang w:eastAsia="ru-RU"/>
        </w:rPr>
        <w:t>,6</w:t>
      </w:r>
      <w:r w:rsidR="00C134D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2,7% </w:t>
      </w:r>
      <w:r w:rsidR="00156F48" w:rsidRPr="00156F48">
        <w:t xml:space="preserve"> </w:t>
      </w:r>
      <w:r w:rsidR="00156F48" w:rsidRPr="00156F48">
        <w:rPr>
          <w:rFonts w:ascii="Times New Roman" w:eastAsia="Times New Roman" w:hAnsi="Times New Roman"/>
          <w:sz w:val="28"/>
          <w:szCs w:val="28"/>
          <w:lang w:eastAsia="ru-RU"/>
        </w:rPr>
        <w:t>от суммы безвозмездных поступлений</w:t>
      </w:r>
      <w:r w:rsidR="00156F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5785" w:rsidRPr="00BE5785" w:rsidRDefault="00D8223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BE5785">
        <w:rPr>
          <w:rFonts w:ascii="Times New Roman" w:eastAsia="Times New Roman" w:hAnsi="Times New Roman"/>
          <w:sz w:val="28"/>
          <w:szCs w:val="28"/>
          <w:lang w:eastAsia="ru-RU"/>
        </w:rPr>
        <w:t>Финансовое состояние бюджета сельского поселения на 01.01.2025 года характеризуется существенным наличием как дебиторской, так и кредиторской задолженности, что напрямую сказывается на его доходности и финансовой стабильности. Анализ данных, предоставленных Управлением Федеральной налоговой службы по Алтайскому краю, выявляет серьезные проблемы в сфере своевременного поступления налоговых платежей. Наиболее критичным является значительный объем просроченной дебиторской задолженности, отраженной на счете 205 11 000 в размере 160,4 тыс</w:t>
      </w:r>
      <w:r w:rsidR="00BE5785" w:rsidRPr="00BE5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E578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Эта сумма представляет собой задолженность физических лиц по местным налогам и сборам. В частности, 67,6 тысяч рублей составляют долги по налогу на имущество физических лиц, а 92,8 тысяч рублей – по земельному налогу. Такая значительная задолженность свидетельствует о низкой эффективности работы по налогообложению и взысканию задолженности, что требует принятия дополнительных мер по улучшению системы контроля и повышения уровня собираемости налогов. Вместе с тем, бюджет сельского поселения имеет и кредиторскую задолженность, отраженную на том же счете 205 11 000 в сумме 52,7 тысяч рублей. Состав этой задолженности указывает на 0,5 тысяч рублей по налогу на имущество физических лиц и 52,2 тысяч рублей по земельному налогу.</w:t>
      </w:r>
      <w:r w:rsidR="00D36C92" w:rsidRPr="00BE57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E5785" w:rsidRDefault="00BE5785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Default="00D36C92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D36C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исполнения расходной части бюджета поселения</w:t>
      </w:r>
    </w:p>
    <w:p w:rsidR="00A947DD" w:rsidRPr="00B95298" w:rsidRDefault="00A947DD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D36C92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6C92">
        <w:rPr>
          <w:rStyle w:val="a7"/>
          <w:rFonts w:ascii="Times New Roman" w:hAnsi="Times New Roman"/>
          <w:sz w:val="28"/>
          <w:szCs w:val="28"/>
        </w:rPr>
        <w:t xml:space="preserve">В соответствии со статьей 184.1 Бюджетного кодекса Российской Федерации, </w:t>
      </w:r>
      <w:r>
        <w:rPr>
          <w:rStyle w:val="a7"/>
          <w:rFonts w:ascii="Times New Roman" w:hAnsi="Times New Roman"/>
          <w:sz w:val="28"/>
          <w:szCs w:val="28"/>
        </w:rPr>
        <w:t>р</w:t>
      </w:r>
      <w:r w:rsidR="003A13B4" w:rsidRPr="003A13B4">
        <w:rPr>
          <w:rStyle w:val="a7"/>
          <w:rFonts w:ascii="Times New Roman" w:hAnsi="Times New Roman"/>
          <w:sz w:val="28"/>
          <w:szCs w:val="28"/>
        </w:rPr>
        <w:t>ешением от</w:t>
      </w:r>
      <w:r w:rsidR="003A13B4">
        <w:rPr>
          <w:rStyle w:val="a7"/>
          <w:rFonts w:ascii="Times New Roman" w:hAnsi="Times New Roman"/>
          <w:sz w:val="28"/>
          <w:szCs w:val="28"/>
        </w:rPr>
        <w:t xml:space="preserve"> 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>2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9</w:t>
      </w:r>
      <w:r w:rsidR="003A13B4" w:rsidRPr="003A13B4">
        <w:rPr>
          <w:rStyle w:val="a7"/>
          <w:rFonts w:ascii="Times New Roman" w:hAnsi="Times New Roman"/>
          <w:sz w:val="28"/>
          <w:szCs w:val="28"/>
          <w:lang w:eastAsia="ru-RU"/>
        </w:rPr>
        <w:t xml:space="preserve">.12.2023 № </w:t>
      </w:r>
      <w:r>
        <w:rPr>
          <w:rStyle w:val="a7"/>
          <w:rFonts w:ascii="Times New Roman" w:hAnsi="Times New Roman"/>
          <w:sz w:val="28"/>
          <w:szCs w:val="28"/>
          <w:lang w:eastAsia="ru-RU"/>
        </w:rPr>
        <w:t>45 (с изменениями)</w:t>
      </w:r>
      <w:r w:rsidR="003A13B4">
        <w:rPr>
          <w:rStyle w:val="a7"/>
          <w:lang w:eastAsia="ru-RU"/>
        </w:rPr>
        <w:t xml:space="preserve"> </w:t>
      </w:r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3B4"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муниципального образования </w:t>
      </w:r>
      <w:r w:rsidR="00496B50">
        <w:rPr>
          <w:rFonts w:ascii="Times New Roman" w:eastAsia="Times New Roman" w:hAnsi="Times New Roman"/>
          <w:sz w:val="28"/>
          <w:szCs w:val="28"/>
          <w:lang w:eastAsia="ru-RU"/>
        </w:rPr>
        <w:t>Телеутский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Каменского района Алтайского края на 2024 год и на плановый период 2025 и 2026 годов»</w:t>
      </w:r>
      <w:r w:rsidR="00BE57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утверждены плановые назначения по расходам в сумме </w:t>
      </w:r>
      <w:r w:rsidR="00BE5785">
        <w:rPr>
          <w:rFonts w:ascii="Times New Roman" w:eastAsia="Times New Roman" w:hAnsi="Times New Roman"/>
          <w:sz w:val="28"/>
          <w:szCs w:val="28"/>
          <w:lang w:eastAsia="ru-RU"/>
        </w:rPr>
        <w:t>3161,9</w:t>
      </w:r>
      <w:r w:rsid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4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578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кассовое исполнение бюджета составило </w:t>
      </w:r>
      <w:r w:rsidR="00BE5785">
        <w:rPr>
          <w:rFonts w:ascii="Times New Roman" w:eastAsia="Times New Roman" w:hAnsi="Times New Roman"/>
          <w:sz w:val="28"/>
          <w:szCs w:val="28"/>
          <w:lang w:eastAsia="ru-RU"/>
        </w:rPr>
        <w:t>3156,9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BE5785">
        <w:rPr>
          <w:rFonts w:ascii="Times New Roman" w:eastAsia="Times New Roman" w:hAnsi="Times New Roman"/>
          <w:sz w:val="28"/>
          <w:szCs w:val="28"/>
          <w:lang w:eastAsia="ru-RU"/>
        </w:rPr>
        <w:t>99,8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463EA0" w:rsidRDefault="00882EEA" w:rsidP="00463EA0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63EA0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463EA0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 w:rsidRPr="00463EA0">
        <w:rPr>
          <w:rFonts w:ascii="Times New Roman" w:hAnsi="Times New Roman"/>
          <w:sz w:val="28"/>
          <w:szCs w:val="28"/>
        </w:rPr>
        <w:t>4</w:t>
      </w:r>
      <w:r w:rsidRPr="00463EA0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F77BED" w:rsidRDefault="00F77BED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3                                                                                                                                                               </w:t>
      </w:r>
      <w:r w:rsidR="002E5AEA">
        <w:rPr>
          <w:rFonts w:ascii="Times New Roman" w:hAnsi="Times New Roman"/>
          <w:b/>
          <w:sz w:val="18"/>
          <w:szCs w:val="18"/>
        </w:rPr>
        <w:t xml:space="preserve">    </w:t>
      </w:r>
      <w:r w:rsidRPr="00B14CA2">
        <w:rPr>
          <w:rFonts w:ascii="Times New Roman" w:hAnsi="Times New Roman"/>
          <w:b/>
          <w:sz w:val="18"/>
          <w:szCs w:val="18"/>
        </w:rPr>
        <w:t xml:space="preserve">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10032" w:type="dxa"/>
        <w:tblLayout w:type="fixed"/>
        <w:tblLook w:val="04A0" w:firstRow="1" w:lastRow="0" w:firstColumn="1" w:lastColumn="0" w:noHBand="0" w:noVBand="1"/>
      </w:tblPr>
      <w:tblGrid>
        <w:gridCol w:w="4219"/>
        <w:gridCol w:w="567"/>
        <w:gridCol w:w="568"/>
        <w:gridCol w:w="1418"/>
        <w:gridCol w:w="992"/>
        <w:gridCol w:w="1417"/>
        <w:gridCol w:w="851"/>
      </w:tblGrid>
      <w:tr w:rsidR="00A90364" w:rsidRPr="002A409D" w:rsidTr="00F77BED">
        <w:trPr>
          <w:trHeight w:val="1019"/>
        </w:trPr>
        <w:tc>
          <w:tcPr>
            <w:tcW w:w="4219" w:type="dxa"/>
          </w:tcPr>
          <w:p w:rsidR="00A90364" w:rsidRPr="00E0163D" w:rsidRDefault="00A90364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A90364" w:rsidRPr="00E0163D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8" w:type="dxa"/>
          </w:tcPr>
          <w:p w:rsidR="00A90364" w:rsidRPr="00E0163D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41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992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Исполнено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Отклонение исполнения от уточненного плана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A90364" w:rsidRPr="002A409D" w:rsidTr="00A90364">
        <w:tc>
          <w:tcPr>
            <w:tcW w:w="4219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</w:tcPr>
          <w:p w:rsidR="00A90364" w:rsidRPr="00A90364" w:rsidRDefault="00A90364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FD2EE1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Расходы бюджета –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90364" w:rsidRPr="00A90364" w:rsidRDefault="00463EA0" w:rsidP="008224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3161,9</w:t>
            </w:r>
          </w:p>
        </w:tc>
        <w:tc>
          <w:tcPr>
            <w:tcW w:w="992" w:type="dxa"/>
            <w:vAlign w:val="center"/>
          </w:tcPr>
          <w:p w:rsidR="00A90364" w:rsidRPr="00A90364" w:rsidRDefault="00463EA0" w:rsidP="0097486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3156,9</w:t>
            </w:r>
          </w:p>
        </w:tc>
        <w:tc>
          <w:tcPr>
            <w:tcW w:w="1417" w:type="dxa"/>
            <w:vAlign w:val="center"/>
          </w:tcPr>
          <w:p w:rsidR="00A90364" w:rsidRPr="00A90364" w:rsidRDefault="008E6317" w:rsidP="0082247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-5,0</w:t>
            </w:r>
          </w:p>
        </w:tc>
        <w:tc>
          <w:tcPr>
            <w:tcW w:w="851" w:type="dxa"/>
            <w:vAlign w:val="center"/>
          </w:tcPr>
          <w:p w:rsidR="00A90364" w:rsidRPr="00A90364" w:rsidRDefault="008E6317" w:rsidP="0097486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99,8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67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A90364" w:rsidRPr="00A90364" w:rsidRDefault="00A9036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CE614E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1749,6</w:t>
            </w:r>
          </w:p>
        </w:tc>
        <w:tc>
          <w:tcPr>
            <w:tcW w:w="992" w:type="dxa"/>
            <w:vAlign w:val="center"/>
          </w:tcPr>
          <w:p w:rsidR="00A90364" w:rsidRPr="00A90364" w:rsidRDefault="00CE614E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1744,8</w:t>
            </w:r>
          </w:p>
        </w:tc>
        <w:tc>
          <w:tcPr>
            <w:tcW w:w="1417" w:type="dxa"/>
            <w:vAlign w:val="center"/>
          </w:tcPr>
          <w:p w:rsidR="008E6317" w:rsidRPr="00A90364" w:rsidRDefault="008E6317" w:rsidP="008E631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-4,8</w:t>
            </w:r>
          </w:p>
        </w:tc>
        <w:tc>
          <w:tcPr>
            <w:tcW w:w="851" w:type="dxa"/>
            <w:vAlign w:val="center"/>
          </w:tcPr>
          <w:p w:rsidR="00A90364" w:rsidRPr="00A90364" w:rsidRDefault="008E6317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99,7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муниципального образования  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vAlign w:val="center"/>
          </w:tcPr>
          <w:p w:rsidR="00923B74" w:rsidRPr="00923B74" w:rsidRDefault="00CE614E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840,9</w:t>
            </w:r>
          </w:p>
        </w:tc>
        <w:tc>
          <w:tcPr>
            <w:tcW w:w="992" w:type="dxa"/>
            <w:vAlign w:val="center"/>
          </w:tcPr>
          <w:p w:rsidR="00923B74" w:rsidRPr="00923B74" w:rsidRDefault="00CE614E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840,8</w:t>
            </w:r>
          </w:p>
        </w:tc>
        <w:tc>
          <w:tcPr>
            <w:tcW w:w="1417" w:type="dxa"/>
            <w:vAlign w:val="center"/>
          </w:tcPr>
          <w:p w:rsidR="00923B74" w:rsidRPr="00923B74" w:rsidRDefault="008E6317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23B74" w:rsidRPr="00923B74" w:rsidRDefault="008E6317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Функционирование местных администрации  </w:t>
            </w:r>
          </w:p>
        </w:tc>
        <w:tc>
          <w:tcPr>
            <w:tcW w:w="567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P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:rsidR="00923B74" w:rsidRPr="00923B74" w:rsidRDefault="00CE614E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512,4</w:t>
            </w:r>
          </w:p>
        </w:tc>
        <w:tc>
          <w:tcPr>
            <w:tcW w:w="992" w:type="dxa"/>
            <w:vAlign w:val="center"/>
          </w:tcPr>
          <w:p w:rsidR="00923B74" w:rsidRPr="00923B74" w:rsidRDefault="00CE614E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509,7</w:t>
            </w:r>
          </w:p>
        </w:tc>
        <w:tc>
          <w:tcPr>
            <w:tcW w:w="1417" w:type="dxa"/>
            <w:vAlign w:val="center"/>
          </w:tcPr>
          <w:p w:rsidR="00923B74" w:rsidRPr="00923B74" w:rsidRDefault="008E6317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-2,7</w:t>
            </w:r>
          </w:p>
        </w:tc>
        <w:tc>
          <w:tcPr>
            <w:tcW w:w="851" w:type="dxa"/>
            <w:vAlign w:val="center"/>
          </w:tcPr>
          <w:p w:rsidR="00923B74" w:rsidRPr="00923B74" w:rsidRDefault="008E6317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99,5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8" w:type="dxa"/>
          </w:tcPr>
          <w:p w:rsidR="00923B74" w:rsidRDefault="00923B74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923B74" w:rsidRPr="00923B74" w:rsidRDefault="00AF11BA" w:rsidP="00CC2C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396,3</w:t>
            </w:r>
          </w:p>
        </w:tc>
        <w:tc>
          <w:tcPr>
            <w:tcW w:w="992" w:type="dxa"/>
            <w:vAlign w:val="center"/>
          </w:tcPr>
          <w:p w:rsidR="00923B74" w:rsidRPr="00923B74" w:rsidRDefault="00AF11BA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394,2</w:t>
            </w:r>
          </w:p>
        </w:tc>
        <w:tc>
          <w:tcPr>
            <w:tcW w:w="1417" w:type="dxa"/>
            <w:vAlign w:val="center"/>
          </w:tcPr>
          <w:p w:rsidR="00923B74" w:rsidRPr="00923B74" w:rsidRDefault="008E6317" w:rsidP="0082247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-2,1</w:t>
            </w:r>
          </w:p>
        </w:tc>
        <w:tc>
          <w:tcPr>
            <w:tcW w:w="851" w:type="dxa"/>
            <w:vAlign w:val="center"/>
          </w:tcPr>
          <w:p w:rsidR="00923B74" w:rsidRPr="00923B74" w:rsidRDefault="008E6317" w:rsidP="0097486A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99,5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992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1417" w:type="dxa"/>
            <w:vAlign w:val="center"/>
          </w:tcPr>
          <w:p w:rsidR="00A90364" w:rsidRPr="00A90364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0364" w:rsidRPr="00A9036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568" w:type="dxa"/>
          </w:tcPr>
          <w:p w:rsidR="00923B74" w:rsidRPr="00923B74" w:rsidRDefault="00923B7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vAlign w:val="center"/>
          </w:tcPr>
          <w:p w:rsidR="00923B74" w:rsidRPr="00923B7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992" w:type="dxa"/>
            <w:vAlign w:val="center"/>
          </w:tcPr>
          <w:p w:rsidR="00923B74" w:rsidRPr="00923B7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1417" w:type="dxa"/>
            <w:vAlign w:val="center"/>
          </w:tcPr>
          <w:p w:rsidR="00923B74" w:rsidRPr="00923B74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23B74" w:rsidRPr="00923B7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992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417" w:type="dxa"/>
            <w:vAlign w:val="center"/>
          </w:tcPr>
          <w:p w:rsidR="00A90364" w:rsidRPr="00A90364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  <w:tc>
          <w:tcPr>
            <w:tcW w:w="851" w:type="dxa"/>
            <w:vAlign w:val="center"/>
          </w:tcPr>
          <w:p w:rsidR="00A90364" w:rsidRPr="00A9036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</w:tr>
      <w:tr w:rsidR="00923B74" w:rsidRPr="00923B74" w:rsidTr="004C29EF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923B74" w:rsidRPr="00923B74" w:rsidRDefault="00923B74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568" w:type="dxa"/>
            <w:vAlign w:val="center"/>
          </w:tcPr>
          <w:p w:rsidR="00923B74" w:rsidRPr="00923B74" w:rsidRDefault="00923B74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923B74" w:rsidRPr="00923B74" w:rsidRDefault="004C29EF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27,0</w:t>
            </w:r>
          </w:p>
        </w:tc>
        <w:tc>
          <w:tcPr>
            <w:tcW w:w="992" w:type="dxa"/>
            <w:vAlign w:val="center"/>
          </w:tcPr>
          <w:p w:rsidR="00923B74" w:rsidRPr="00923B74" w:rsidRDefault="004C29EF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417" w:type="dxa"/>
            <w:vAlign w:val="center"/>
          </w:tcPr>
          <w:p w:rsidR="00923B74" w:rsidRPr="00923B74" w:rsidRDefault="008E6317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  <w:tc>
          <w:tcPr>
            <w:tcW w:w="851" w:type="dxa"/>
            <w:vAlign w:val="center"/>
          </w:tcPr>
          <w:p w:rsidR="00923B74" w:rsidRPr="00923B74" w:rsidRDefault="008E6317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99,6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992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  <w:tc>
          <w:tcPr>
            <w:tcW w:w="1417" w:type="dxa"/>
            <w:vAlign w:val="center"/>
          </w:tcPr>
          <w:p w:rsidR="00A90364" w:rsidRPr="00A90364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  <w:tc>
          <w:tcPr>
            <w:tcW w:w="851" w:type="dxa"/>
            <w:vAlign w:val="center"/>
          </w:tcPr>
          <w:p w:rsidR="00A90364" w:rsidRPr="00A9036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</w:tr>
      <w:tr w:rsidR="00923B74" w:rsidRPr="00923B74" w:rsidTr="00A90364">
        <w:tc>
          <w:tcPr>
            <w:tcW w:w="4219" w:type="dxa"/>
            <w:vAlign w:val="center"/>
          </w:tcPr>
          <w:p w:rsidR="00923B74" w:rsidRPr="00923B74" w:rsidRDefault="00923B74" w:rsidP="00A90364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3B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(Дорожные фонды)</w:t>
            </w:r>
          </w:p>
        </w:tc>
        <w:tc>
          <w:tcPr>
            <w:tcW w:w="567" w:type="dxa"/>
          </w:tcPr>
          <w:p w:rsidR="00923B74" w:rsidRPr="00923B74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8" w:type="dxa"/>
          </w:tcPr>
          <w:p w:rsidR="00923B74" w:rsidRPr="00923B74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vAlign w:val="center"/>
          </w:tcPr>
          <w:p w:rsidR="00923B74" w:rsidRPr="00923B7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163,0</w:t>
            </w:r>
          </w:p>
        </w:tc>
        <w:tc>
          <w:tcPr>
            <w:tcW w:w="992" w:type="dxa"/>
            <w:vAlign w:val="center"/>
          </w:tcPr>
          <w:p w:rsidR="00923B74" w:rsidRPr="00923B7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162,9</w:t>
            </w:r>
          </w:p>
        </w:tc>
        <w:tc>
          <w:tcPr>
            <w:tcW w:w="1417" w:type="dxa"/>
            <w:vAlign w:val="center"/>
          </w:tcPr>
          <w:p w:rsidR="00923B74" w:rsidRPr="00923B74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-0,1</w:t>
            </w:r>
          </w:p>
        </w:tc>
        <w:tc>
          <w:tcPr>
            <w:tcW w:w="851" w:type="dxa"/>
            <w:vAlign w:val="center"/>
          </w:tcPr>
          <w:p w:rsidR="00923B74" w:rsidRPr="00923B7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</w:tr>
      <w:tr w:rsidR="00A90364" w:rsidRPr="002A409D" w:rsidTr="00A90364">
        <w:tc>
          <w:tcPr>
            <w:tcW w:w="4219" w:type="dxa"/>
            <w:vAlign w:val="center"/>
          </w:tcPr>
          <w:p w:rsidR="00A90364" w:rsidRPr="00A90364" w:rsidRDefault="00A90364" w:rsidP="00A9036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A90364" w:rsidRPr="00A90364" w:rsidRDefault="00A90364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vAlign w:val="center"/>
          </w:tcPr>
          <w:p w:rsidR="00A90364" w:rsidRPr="00A90364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1175,1</w:t>
            </w:r>
          </w:p>
        </w:tc>
        <w:tc>
          <w:tcPr>
            <w:tcW w:w="992" w:type="dxa"/>
            <w:vAlign w:val="center"/>
          </w:tcPr>
          <w:p w:rsidR="00A90364" w:rsidRPr="00A90364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1175,1</w:t>
            </w:r>
          </w:p>
        </w:tc>
        <w:tc>
          <w:tcPr>
            <w:tcW w:w="1417" w:type="dxa"/>
            <w:vAlign w:val="center"/>
          </w:tcPr>
          <w:p w:rsidR="00A90364" w:rsidRPr="00A90364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A90364" w:rsidRPr="00A9036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75319" w:rsidRPr="002A409D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5319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975319" w:rsidRPr="00A90364" w:rsidRDefault="00EC677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417" w:type="dxa"/>
            <w:vAlign w:val="center"/>
          </w:tcPr>
          <w:p w:rsidR="00975319" w:rsidRPr="00A90364" w:rsidRDefault="008E6317" w:rsidP="00A6368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75319" w:rsidRPr="00A90364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75319" w:rsidRPr="00975319" w:rsidTr="00A90364">
        <w:tc>
          <w:tcPr>
            <w:tcW w:w="4219" w:type="dxa"/>
            <w:vAlign w:val="center"/>
          </w:tcPr>
          <w:p w:rsidR="00975319" w:rsidRPr="00975319" w:rsidRDefault="00975319" w:rsidP="00A9036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75319">
              <w:rPr>
                <w:rFonts w:ascii="Times New Roman" w:hAnsi="Times New Roman"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568" w:type="dxa"/>
          </w:tcPr>
          <w:p w:rsidR="00975319" w:rsidRPr="00975319" w:rsidRDefault="00975319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vAlign w:val="center"/>
          </w:tcPr>
          <w:p w:rsidR="00975319" w:rsidRPr="00975319" w:rsidRDefault="00822475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1172,7</w:t>
            </w:r>
          </w:p>
        </w:tc>
        <w:tc>
          <w:tcPr>
            <w:tcW w:w="992" w:type="dxa"/>
            <w:vAlign w:val="center"/>
          </w:tcPr>
          <w:p w:rsidR="00975319" w:rsidRPr="00975319" w:rsidRDefault="004C29EF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1172,7</w:t>
            </w:r>
          </w:p>
        </w:tc>
        <w:tc>
          <w:tcPr>
            <w:tcW w:w="1417" w:type="dxa"/>
            <w:vAlign w:val="center"/>
          </w:tcPr>
          <w:p w:rsidR="00975319" w:rsidRPr="00975319" w:rsidRDefault="008E6317" w:rsidP="008224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975319" w:rsidRPr="00975319" w:rsidRDefault="008E6317" w:rsidP="009748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A90364" w:rsidRPr="002A409D" w:rsidTr="00975319">
        <w:trPr>
          <w:trHeight w:val="411"/>
        </w:trPr>
        <w:tc>
          <w:tcPr>
            <w:tcW w:w="4219" w:type="dxa"/>
          </w:tcPr>
          <w:p w:rsidR="00A90364" w:rsidRPr="00A90364" w:rsidRDefault="00A90364" w:rsidP="00975319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Здравоохранение, ф</w:t>
            </w:r>
            <w:r w:rsidR="009753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изическая культура и </w:t>
            </w:r>
            <w:r w:rsidRPr="00A903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спорт</w:t>
            </w:r>
          </w:p>
        </w:tc>
        <w:tc>
          <w:tcPr>
            <w:tcW w:w="567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A90364" w:rsidRPr="00A90364" w:rsidRDefault="00A90364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</w:tcPr>
          <w:p w:rsidR="00A90364" w:rsidRPr="00A90364" w:rsidRDefault="00A90364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0,</w:t>
            </w:r>
            <w:r w:rsidR="004C29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A90364" w:rsidRPr="00A90364" w:rsidRDefault="00A90364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364">
              <w:rPr>
                <w:rFonts w:ascii="Times New Roman" w:hAnsi="Times New Roman"/>
                <w:sz w:val="18"/>
                <w:szCs w:val="18"/>
              </w:rPr>
              <w:t>0</w:t>
            </w:r>
            <w:r w:rsidR="004C29EF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1417" w:type="dxa"/>
          </w:tcPr>
          <w:p w:rsidR="00A90364" w:rsidRPr="00A90364" w:rsidRDefault="008E6317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90364" w:rsidRPr="00A90364" w:rsidRDefault="008E6317" w:rsidP="009753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975319" w:rsidRPr="00975319" w:rsidTr="00EC6779">
        <w:trPr>
          <w:trHeight w:val="361"/>
        </w:trPr>
        <w:tc>
          <w:tcPr>
            <w:tcW w:w="4219" w:type="dxa"/>
          </w:tcPr>
          <w:p w:rsidR="00975319" w:rsidRPr="00975319" w:rsidRDefault="00975319" w:rsidP="00975319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</w:tcPr>
          <w:p w:rsidR="00975319" w:rsidRPr="00975319" w:rsidRDefault="00975319" w:rsidP="009753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8" w:type="dxa"/>
          </w:tcPr>
          <w:p w:rsidR="00975319" w:rsidRPr="00975319" w:rsidRDefault="00975319" w:rsidP="0097531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</w:tcPr>
          <w:p w:rsidR="00975319" w:rsidRPr="00975319" w:rsidRDefault="00EC6779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4C29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975319" w:rsidRPr="00975319" w:rsidRDefault="00EC6779" w:rsidP="004C2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4C29E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975319" w:rsidRPr="00975319" w:rsidRDefault="008E6317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975319" w:rsidRPr="00975319" w:rsidRDefault="008E6317" w:rsidP="00EC67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</w:tbl>
    <w:p w:rsidR="00203627" w:rsidRDefault="003E2D5D" w:rsidP="00FD2E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 поселения за 2024 год занимают расходы на «Общегосударственные вопросы» (</w:t>
      </w:r>
      <w:r w:rsidR="0053218D">
        <w:rPr>
          <w:rFonts w:ascii="Times New Roman" w:eastAsia="Times New Roman" w:hAnsi="Times New Roman"/>
          <w:sz w:val="28"/>
          <w:szCs w:val="28"/>
          <w:lang w:eastAsia="ru-RU"/>
        </w:rPr>
        <w:t>55,3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53218D">
        <w:rPr>
          <w:rFonts w:ascii="Times New Roman" w:eastAsia="Times New Roman" w:hAnsi="Times New Roman"/>
          <w:sz w:val="28"/>
          <w:szCs w:val="28"/>
          <w:lang w:eastAsia="ru-RU"/>
        </w:rPr>
        <w:t>5,2</w:t>
      </w:r>
      <w:r w:rsidRPr="003E2D5D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; на  «Национальную оборону» расходы составили (</w:t>
      </w:r>
      <w:r w:rsidR="0053218D">
        <w:rPr>
          <w:rFonts w:ascii="Times New Roman" w:eastAsia="Times New Roman" w:hAnsi="Times New Roman"/>
          <w:sz w:val="28"/>
          <w:szCs w:val="28"/>
          <w:lang w:eastAsia="ru-RU"/>
        </w:rPr>
        <w:t>1,5</w:t>
      </w:r>
      <w:r w:rsidR="00A348CC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 xml:space="preserve">;  </w:t>
      </w:r>
      <w:proofErr w:type="gramStart"/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F20482" w:rsidRPr="00F20482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="00F20482" w:rsidRPr="00F20482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 (</w:t>
      </w:r>
      <w:r w:rsidR="0053218D">
        <w:rPr>
          <w:rFonts w:ascii="Times New Roman" w:eastAsia="Times New Roman" w:hAnsi="Times New Roman"/>
          <w:sz w:val="28"/>
          <w:szCs w:val="28"/>
          <w:lang w:eastAsia="ru-RU"/>
        </w:rPr>
        <w:t>37,2</w:t>
      </w:r>
      <w:r w:rsidR="00F20482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085DA3" w:rsidRPr="00085DA3" w:rsidRDefault="00085DA3" w:rsidP="00A804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15ABB" w:rsidRPr="00A04F59" w:rsidRDefault="00F15ABB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</w:t>
      </w:r>
      <w:r w:rsidR="003443C7" w:rsidRPr="002A409D">
        <w:rPr>
          <w:rFonts w:ascii="Times New Roman" w:hAnsi="Times New Roman"/>
          <w:sz w:val="28"/>
          <w:szCs w:val="28"/>
        </w:rPr>
        <w:t xml:space="preserve">     </w:t>
      </w:r>
      <w:r w:rsidRPr="00A04F59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A04F59">
        <w:rPr>
          <w:rFonts w:ascii="Times New Roman" w:hAnsi="Times New Roman"/>
          <w:sz w:val="28"/>
          <w:szCs w:val="28"/>
        </w:rPr>
        <w:t>утвержденные</w:t>
      </w:r>
      <w:r w:rsidR="00085DA3" w:rsidRPr="00A04F59">
        <w:rPr>
          <w:rFonts w:ascii="Times New Roman" w:hAnsi="Times New Roman"/>
          <w:sz w:val="28"/>
          <w:szCs w:val="28"/>
        </w:rPr>
        <w:t xml:space="preserve"> </w:t>
      </w:r>
      <w:r w:rsidRPr="00A04F59">
        <w:rPr>
          <w:rFonts w:ascii="Times New Roman" w:hAnsi="Times New Roman"/>
          <w:sz w:val="28"/>
          <w:szCs w:val="28"/>
        </w:rPr>
        <w:t xml:space="preserve">в размере </w:t>
      </w:r>
      <w:r w:rsidR="0053218D">
        <w:rPr>
          <w:rFonts w:ascii="Times New Roman" w:hAnsi="Times New Roman"/>
          <w:sz w:val="28"/>
          <w:szCs w:val="28"/>
        </w:rPr>
        <w:t>3161,9</w:t>
      </w:r>
      <w:r w:rsidR="00EB5998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 xml:space="preserve">тыс. </w:t>
      </w:r>
      <w:r w:rsidR="00EB5998" w:rsidRPr="00A04F59">
        <w:rPr>
          <w:rFonts w:ascii="Times New Roman" w:hAnsi="Times New Roman"/>
          <w:sz w:val="28"/>
          <w:szCs w:val="28"/>
        </w:rPr>
        <w:t>рублей</w:t>
      </w:r>
      <w:r w:rsidRPr="00A04F59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53218D">
        <w:rPr>
          <w:rFonts w:ascii="Times New Roman" w:hAnsi="Times New Roman"/>
          <w:sz w:val="28"/>
          <w:szCs w:val="28"/>
        </w:rPr>
        <w:t>3156,9</w:t>
      </w:r>
      <w:r w:rsidR="00085DA3" w:rsidRPr="00A04F59">
        <w:rPr>
          <w:rFonts w:ascii="Times New Roman" w:hAnsi="Times New Roman"/>
          <w:sz w:val="28"/>
          <w:szCs w:val="28"/>
        </w:rPr>
        <w:t xml:space="preserve"> тыс. рублей</w:t>
      </w:r>
      <w:r w:rsidR="00E90487" w:rsidRPr="00A04F59">
        <w:rPr>
          <w:rFonts w:ascii="Times New Roman" w:hAnsi="Times New Roman"/>
          <w:sz w:val="28"/>
          <w:szCs w:val="28"/>
        </w:rPr>
        <w:t>.</w:t>
      </w:r>
      <w:r w:rsidRPr="00A04F59">
        <w:rPr>
          <w:rFonts w:ascii="Times New Roman" w:hAnsi="Times New Roman"/>
          <w:sz w:val="28"/>
          <w:szCs w:val="28"/>
        </w:rPr>
        <w:t xml:space="preserve"> Неисп</w:t>
      </w:r>
      <w:r w:rsidR="000239D1" w:rsidRPr="00A04F59">
        <w:rPr>
          <w:rFonts w:ascii="Times New Roman" w:hAnsi="Times New Roman"/>
          <w:sz w:val="28"/>
          <w:szCs w:val="28"/>
        </w:rPr>
        <w:t>олненные</w:t>
      </w:r>
      <w:r w:rsidRPr="00A04F59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A04F59">
        <w:rPr>
          <w:rFonts w:ascii="Times New Roman" w:hAnsi="Times New Roman"/>
          <w:sz w:val="28"/>
          <w:szCs w:val="28"/>
        </w:rPr>
        <w:t xml:space="preserve"> </w:t>
      </w:r>
      <w:r w:rsidR="000239D1" w:rsidRPr="00A04F59">
        <w:rPr>
          <w:rFonts w:ascii="Times New Roman" w:hAnsi="Times New Roman"/>
          <w:sz w:val="28"/>
          <w:szCs w:val="28"/>
        </w:rPr>
        <w:t xml:space="preserve">составили </w:t>
      </w:r>
      <w:r w:rsidR="0053218D">
        <w:rPr>
          <w:rFonts w:ascii="Times New Roman" w:hAnsi="Times New Roman"/>
          <w:sz w:val="28"/>
          <w:szCs w:val="28"/>
        </w:rPr>
        <w:t>4,9</w:t>
      </w:r>
      <w:r w:rsidR="00F20482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 xml:space="preserve">тыс. </w:t>
      </w:r>
      <w:r w:rsidR="00894BA6" w:rsidRPr="00A04F59">
        <w:rPr>
          <w:rFonts w:ascii="Times New Roman" w:hAnsi="Times New Roman"/>
          <w:sz w:val="28"/>
          <w:szCs w:val="28"/>
        </w:rPr>
        <w:t>рубл</w:t>
      </w:r>
      <w:r w:rsidR="00085DA3" w:rsidRPr="00A04F59">
        <w:rPr>
          <w:rFonts w:ascii="Times New Roman" w:hAnsi="Times New Roman"/>
          <w:sz w:val="28"/>
          <w:szCs w:val="28"/>
        </w:rPr>
        <w:t xml:space="preserve">ей или </w:t>
      </w:r>
      <w:r w:rsidR="0053218D">
        <w:rPr>
          <w:rFonts w:ascii="Times New Roman" w:hAnsi="Times New Roman"/>
          <w:sz w:val="28"/>
          <w:szCs w:val="28"/>
        </w:rPr>
        <w:t>0,2</w:t>
      </w:r>
      <w:r w:rsidR="00DA2376" w:rsidRPr="00A04F59">
        <w:rPr>
          <w:rFonts w:ascii="Times New Roman" w:hAnsi="Times New Roman"/>
          <w:sz w:val="28"/>
          <w:szCs w:val="28"/>
        </w:rPr>
        <w:t xml:space="preserve"> </w:t>
      </w:r>
      <w:r w:rsidR="00085DA3" w:rsidRPr="00A04F59">
        <w:rPr>
          <w:rFonts w:ascii="Times New Roman" w:hAnsi="Times New Roman"/>
          <w:sz w:val="28"/>
          <w:szCs w:val="28"/>
        </w:rPr>
        <w:t>%</w:t>
      </w:r>
      <w:r w:rsidR="004F64A3" w:rsidRPr="00A04F59">
        <w:rPr>
          <w:rFonts w:ascii="Times New Roman" w:hAnsi="Times New Roman"/>
          <w:sz w:val="28"/>
          <w:szCs w:val="28"/>
        </w:rPr>
        <w:t>.</w:t>
      </w:r>
    </w:p>
    <w:p w:rsidR="00C60DC9" w:rsidRPr="00A04F59" w:rsidRDefault="00C60DC9" w:rsidP="00A348C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53F65" w:rsidRDefault="00C53F6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3F65">
        <w:rPr>
          <w:rFonts w:ascii="Times New Roman" w:hAnsi="Times New Roman"/>
          <w:sz w:val="28"/>
          <w:szCs w:val="28"/>
        </w:rPr>
        <w:t>В 2024 году общие расходы муниципального образования составили 3156</w:t>
      </w:r>
      <w:r>
        <w:rPr>
          <w:rFonts w:ascii="Times New Roman" w:hAnsi="Times New Roman"/>
          <w:sz w:val="28"/>
          <w:szCs w:val="28"/>
        </w:rPr>
        <w:t>,</w:t>
      </w:r>
      <w:r w:rsidRPr="00C53F6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53F65">
        <w:rPr>
          <w:rFonts w:ascii="Times New Roman" w:hAnsi="Times New Roman"/>
          <w:sz w:val="28"/>
          <w:szCs w:val="28"/>
        </w:rPr>
        <w:t xml:space="preserve"> рублей. Эта сумма распределена по нескольким статьям бюджета, каждая из которых требует детального рассмотрения. Анализ расходов позволяет оценить эффективность управления муниципальными ресурсами и понять, на что направлены средства налогоплательщиков. Наибольшая часть средств, 840</w:t>
      </w:r>
      <w:r>
        <w:rPr>
          <w:rFonts w:ascii="Times New Roman" w:hAnsi="Times New Roman"/>
          <w:sz w:val="28"/>
          <w:szCs w:val="28"/>
        </w:rPr>
        <w:t>,8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рублей, была потрачена на "Функционирование высшего должностного лица муниципального образования". Эта статья включает в себя несколько существенных пунктов. Заработная плата главы сельсовета составила 451</w:t>
      </w:r>
      <w:r>
        <w:rPr>
          <w:rFonts w:ascii="Times New Roman" w:hAnsi="Times New Roman"/>
          <w:sz w:val="28"/>
          <w:szCs w:val="28"/>
        </w:rPr>
        <w:t>,0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рублей. К этой сумме добавились начисления на оплату труда в размере 134</w:t>
      </w:r>
      <w:r>
        <w:rPr>
          <w:rFonts w:ascii="Times New Roman" w:hAnsi="Times New Roman"/>
          <w:sz w:val="28"/>
          <w:szCs w:val="28"/>
        </w:rPr>
        <w:t xml:space="preserve">,3 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рублей, что включает в себя обязательные страховые взносы и другие социальные отчисления. Значительная часть расходов, а именно 255</w:t>
      </w:r>
      <w:r>
        <w:rPr>
          <w:rFonts w:ascii="Times New Roman" w:hAnsi="Times New Roman"/>
          <w:sz w:val="28"/>
          <w:szCs w:val="28"/>
        </w:rPr>
        <w:t xml:space="preserve">,5 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рублей, была направлена на выплату </w:t>
      </w:r>
      <w:proofErr w:type="gramStart"/>
      <w:r w:rsidRPr="00C53F65">
        <w:rPr>
          <w:rFonts w:ascii="Times New Roman" w:hAnsi="Times New Roman"/>
          <w:sz w:val="28"/>
          <w:szCs w:val="28"/>
        </w:rPr>
        <w:t>бывшему</w:t>
      </w:r>
      <w:proofErr w:type="gramEnd"/>
      <w:r w:rsidRPr="00C53F65">
        <w:rPr>
          <w:rFonts w:ascii="Times New Roman" w:hAnsi="Times New Roman"/>
          <w:sz w:val="28"/>
          <w:szCs w:val="28"/>
        </w:rPr>
        <w:t xml:space="preserve"> главе сельсовета при его увольнении. </w:t>
      </w:r>
      <w:r>
        <w:rPr>
          <w:rFonts w:ascii="Times New Roman" w:hAnsi="Times New Roman"/>
          <w:sz w:val="28"/>
          <w:szCs w:val="28"/>
        </w:rPr>
        <w:t>Это</w:t>
      </w:r>
      <w:r w:rsidRPr="00C53F65">
        <w:rPr>
          <w:rFonts w:ascii="Times New Roman" w:hAnsi="Times New Roman"/>
          <w:sz w:val="28"/>
          <w:szCs w:val="28"/>
        </w:rPr>
        <w:t xml:space="preserve"> связано с компенсационными выплатами, предусмотренными законодательством. Следующая по величине статья расходов – "Функционирование Правительства РФ, высших исполнительных органов субъектов РФ, местных администраций" – составила 509</w:t>
      </w:r>
      <w:r>
        <w:rPr>
          <w:rFonts w:ascii="Times New Roman" w:hAnsi="Times New Roman"/>
          <w:sz w:val="28"/>
          <w:szCs w:val="28"/>
        </w:rPr>
        <w:t xml:space="preserve">,7 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рублей. Эта статья включает в себя широкий спектр затрат, связанных с обеспечением </w:t>
      </w:r>
      <w:r w:rsidRPr="00C53F65">
        <w:rPr>
          <w:rFonts w:ascii="Times New Roman" w:hAnsi="Times New Roman"/>
          <w:sz w:val="28"/>
          <w:szCs w:val="28"/>
        </w:rPr>
        <w:lastRenderedPageBreak/>
        <w:t>деятельности местной администрации. Заработная плата аппарата управления составила 287</w:t>
      </w:r>
      <w:r>
        <w:rPr>
          <w:rFonts w:ascii="Times New Roman" w:hAnsi="Times New Roman"/>
          <w:sz w:val="28"/>
          <w:szCs w:val="28"/>
        </w:rPr>
        <w:t>,2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рублей, а начисления на оплату труда – 86</w:t>
      </w:r>
      <w:r>
        <w:rPr>
          <w:rFonts w:ascii="Times New Roman" w:hAnsi="Times New Roman"/>
          <w:sz w:val="28"/>
          <w:szCs w:val="28"/>
        </w:rPr>
        <w:t xml:space="preserve">,7 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рублей. Дополнительные расходы включают услуги связи и интернет (28</w:t>
      </w:r>
      <w:r>
        <w:rPr>
          <w:rFonts w:ascii="Times New Roman" w:hAnsi="Times New Roman"/>
          <w:sz w:val="28"/>
          <w:szCs w:val="28"/>
        </w:rPr>
        <w:t>,6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рублей)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>т</w:t>
      </w:r>
      <w:proofErr w:type="gramEnd"/>
      <w:r w:rsidRPr="00C53F65">
        <w:rPr>
          <w:rFonts w:ascii="Times New Roman" w:hAnsi="Times New Roman"/>
          <w:sz w:val="28"/>
          <w:szCs w:val="28"/>
        </w:rPr>
        <w:t>ранспортные расходы, в частности, доставку угля (7</w:t>
      </w:r>
      <w:r>
        <w:rPr>
          <w:rFonts w:ascii="Times New Roman" w:hAnsi="Times New Roman"/>
          <w:sz w:val="28"/>
          <w:szCs w:val="28"/>
        </w:rPr>
        <w:t>,6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 xml:space="preserve"> вывоз твердых коммунальных отходов (1</w:t>
      </w:r>
      <w:r>
        <w:rPr>
          <w:rFonts w:ascii="Times New Roman" w:hAnsi="Times New Roman"/>
          <w:sz w:val="28"/>
          <w:szCs w:val="28"/>
        </w:rPr>
        <w:t>,4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C53F65">
        <w:rPr>
          <w:rFonts w:ascii="Times New Roman" w:hAnsi="Times New Roman"/>
          <w:sz w:val="28"/>
          <w:szCs w:val="28"/>
        </w:rPr>
        <w:t>рублей)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 xml:space="preserve"> оплату электроэнергии (13</w:t>
      </w:r>
      <w:r>
        <w:rPr>
          <w:rFonts w:ascii="Times New Roman" w:hAnsi="Times New Roman"/>
          <w:sz w:val="28"/>
          <w:szCs w:val="28"/>
        </w:rPr>
        <w:t>,5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рублей). В бюджет заложены средства на обучение сотрудников: 2</w:t>
      </w:r>
      <w:r>
        <w:rPr>
          <w:rFonts w:ascii="Times New Roman" w:hAnsi="Times New Roman"/>
          <w:sz w:val="28"/>
          <w:szCs w:val="28"/>
        </w:rPr>
        <w:t>,9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были потрачены на повышение квалификации по программе "Контрактная система в сфере закупок для государственных (муниципальных) нужд", а 13</w:t>
      </w:r>
      <w:r>
        <w:rPr>
          <w:rFonts w:ascii="Times New Roman" w:hAnsi="Times New Roman"/>
          <w:sz w:val="28"/>
          <w:szCs w:val="28"/>
        </w:rPr>
        <w:t>,0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– на обучение гражданской обороне. Небольшие суммы были потрачены на канцелярские товары (2</w:t>
      </w:r>
      <w:r>
        <w:rPr>
          <w:rFonts w:ascii="Times New Roman" w:hAnsi="Times New Roman"/>
          <w:sz w:val="28"/>
          <w:szCs w:val="28"/>
        </w:rPr>
        <w:t>,1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 xml:space="preserve"> бланочную продукцию (1</w:t>
      </w:r>
      <w:r>
        <w:rPr>
          <w:rFonts w:ascii="Times New Roman" w:hAnsi="Times New Roman"/>
          <w:sz w:val="28"/>
          <w:szCs w:val="28"/>
        </w:rPr>
        <w:t>,3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C53F65">
        <w:rPr>
          <w:rFonts w:ascii="Times New Roman" w:hAnsi="Times New Roman"/>
          <w:sz w:val="28"/>
          <w:szCs w:val="28"/>
        </w:rPr>
        <w:t>рублей)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C53F65">
        <w:rPr>
          <w:rFonts w:ascii="Times New Roman" w:hAnsi="Times New Roman"/>
          <w:sz w:val="28"/>
          <w:szCs w:val="28"/>
        </w:rPr>
        <w:t xml:space="preserve"> дрова (16</w:t>
      </w:r>
      <w:r>
        <w:rPr>
          <w:rFonts w:ascii="Times New Roman" w:hAnsi="Times New Roman"/>
          <w:sz w:val="28"/>
          <w:szCs w:val="28"/>
        </w:rPr>
        <w:t>,1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 xml:space="preserve"> уголь (48</w:t>
      </w:r>
      <w:r>
        <w:rPr>
          <w:rFonts w:ascii="Times New Roman" w:hAnsi="Times New Roman"/>
          <w:sz w:val="28"/>
          <w:szCs w:val="28"/>
        </w:rPr>
        <w:t>,0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 xml:space="preserve"> транспортный налог (</w:t>
      </w:r>
      <w:r>
        <w:rPr>
          <w:rFonts w:ascii="Times New Roman" w:hAnsi="Times New Roman"/>
          <w:sz w:val="28"/>
          <w:szCs w:val="28"/>
        </w:rPr>
        <w:t>0,</w:t>
      </w:r>
      <w:r w:rsidRPr="00C53F6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53F65">
        <w:rPr>
          <w:rFonts w:ascii="Times New Roman" w:hAnsi="Times New Roman"/>
          <w:sz w:val="28"/>
          <w:szCs w:val="28"/>
        </w:rPr>
        <w:t xml:space="preserve"> рублей) и пени (</w:t>
      </w:r>
      <w:r>
        <w:rPr>
          <w:rFonts w:ascii="Times New Roman" w:hAnsi="Times New Roman"/>
          <w:sz w:val="28"/>
          <w:szCs w:val="28"/>
        </w:rPr>
        <w:t>0,</w:t>
      </w:r>
      <w:r w:rsidRPr="00C53F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C53F65">
        <w:rPr>
          <w:rFonts w:ascii="Times New Roman" w:hAnsi="Times New Roman"/>
          <w:sz w:val="28"/>
          <w:szCs w:val="28"/>
        </w:rPr>
        <w:t>рублей). Статья "Другие общегосударственные вопросы" поглотила 394</w:t>
      </w:r>
      <w:r>
        <w:rPr>
          <w:rFonts w:ascii="Times New Roman" w:hAnsi="Times New Roman"/>
          <w:sz w:val="28"/>
          <w:szCs w:val="28"/>
        </w:rPr>
        <w:t>,2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рублей. Значительная часть этих средств была потрачена на оплату услуг по договорам гражданско-правового характера (ГПХ). В частности, 93</w:t>
      </w:r>
      <w:r>
        <w:rPr>
          <w:rFonts w:ascii="Times New Roman" w:hAnsi="Times New Roman"/>
          <w:sz w:val="28"/>
          <w:szCs w:val="28"/>
        </w:rPr>
        <w:t>,7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были направлены на транспортные услуги (водитель по ГПХ)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>, 132</w:t>
      </w:r>
      <w:r>
        <w:rPr>
          <w:rFonts w:ascii="Times New Roman" w:hAnsi="Times New Roman"/>
          <w:sz w:val="28"/>
          <w:szCs w:val="28"/>
        </w:rPr>
        <w:t>,0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– на услуги по отоплению помещений (сезонный истопник по ГПХ)</w:t>
      </w:r>
      <w:r>
        <w:rPr>
          <w:rFonts w:ascii="Times New Roman" w:hAnsi="Times New Roman"/>
          <w:sz w:val="28"/>
          <w:szCs w:val="28"/>
        </w:rPr>
        <w:t>;</w:t>
      </w:r>
      <w:r w:rsidRPr="00C53F65">
        <w:rPr>
          <w:rFonts w:ascii="Times New Roman" w:hAnsi="Times New Roman"/>
          <w:sz w:val="28"/>
          <w:szCs w:val="28"/>
        </w:rPr>
        <w:t xml:space="preserve"> и 163</w:t>
      </w:r>
      <w:r>
        <w:rPr>
          <w:rFonts w:ascii="Times New Roman" w:hAnsi="Times New Roman"/>
          <w:sz w:val="28"/>
          <w:szCs w:val="28"/>
        </w:rPr>
        <w:t xml:space="preserve">,5 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– на услуги по уборке помещений (уборщик помещения по ГПХ). Также, 3</w:t>
      </w:r>
      <w:r>
        <w:rPr>
          <w:rFonts w:ascii="Times New Roman" w:hAnsi="Times New Roman"/>
          <w:sz w:val="28"/>
          <w:szCs w:val="28"/>
        </w:rPr>
        <w:t>,0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были перечислены в район в качестве межбюджетных трансфертов, а 2</w:t>
      </w:r>
      <w:r>
        <w:rPr>
          <w:rFonts w:ascii="Times New Roman" w:hAnsi="Times New Roman"/>
          <w:sz w:val="28"/>
          <w:szCs w:val="28"/>
        </w:rPr>
        <w:t>,0</w:t>
      </w:r>
      <w:r w:rsidRPr="00C53F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C53F65">
        <w:rPr>
          <w:rFonts w:ascii="Times New Roman" w:hAnsi="Times New Roman"/>
          <w:sz w:val="28"/>
          <w:szCs w:val="28"/>
        </w:rPr>
        <w:t xml:space="preserve"> рублей – в качестве членских взносов в Ассоциацию «Совет муниципальных образований Алтайского края». Наконец, 46</w:t>
      </w:r>
      <w:r>
        <w:rPr>
          <w:rFonts w:ascii="Times New Roman" w:hAnsi="Times New Roman"/>
          <w:sz w:val="28"/>
          <w:szCs w:val="28"/>
        </w:rPr>
        <w:t>,</w:t>
      </w:r>
      <w:r w:rsidRPr="00C53F65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C53F65">
        <w:rPr>
          <w:rFonts w:ascii="Times New Roman" w:hAnsi="Times New Roman"/>
          <w:sz w:val="28"/>
          <w:szCs w:val="28"/>
        </w:rPr>
        <w:t xml:space="preserve"> рублей были израсходованы на "Мобилизационную и вневойсковую подготовку".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17C4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705B1" w:rsidRPr="00F705B1">
        <w:rPr>
          <w:rFonts w:ascii="Times New Roman" w:hAnsi="Times New Roman"/>
          <w:sz w:val="28"/>
          <w:szCs w:val="28"/>
        </w:rPr>
        <w:t xml:space="preserve">Важно отметить, что бюджет сельского поселения имеет дефицит, который составил </w:t>
      </w:r>
      <w:r w:rsidR="00F705B1">
        <w:rPr>
          <w:rFonts w:ascii="Times New Roman" w:hAnsi="Times New Roman"/>
          <w:sz w:val="28"/>
          <w:szCs w:val="28"/>
        </w:rPr>
        <w:t>323,3</w:t>
      </w:r>
      <w:r w:rsidR="00F705B1" w:rsidRPr="00F705B1">
        <w:rPr>
          <w:rFonts w:ascii="Times New Roman" w:hAnsi="Times New Roman"/>
          <w:sz w:val="28"/>
          <w:szCs w:val="28"/>
        </w:rPr>
        <w:t xml:space="preserve"> тыс. рублей</w:t>
      </w:r>
      <w:r w:rsidR="00F705B1">
        <w:rPr>
          <w:rFonts w:ascii="Times New Roman" w:hAnsi="Times New Roman"/>
          <w:sz w:val="28"/>
          <w:szCs w:val="28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</w:t>
      </w:r>
      <w:r w:rsidR="006205F3">
        <w:rPr>
          <w:rFonts w:ascii="Times New Roman" w:hAnsi="Times New Roman"/>
          <w:sz w:val="28"/>
          <w:szCs w:val="28"/>
        </w:rPr>
        <w:t>Р</w:t>
      </w:r>
      <w:r w:rsidR="006205F3" w:rsidRPr="006205F3">
        <w:rPr>
          <w:rFonts w:ascii="Times New Roman" w:hAnsi="Times New Roman"/>
          <w:sz w:val="28"/>
          <w:szCs w:val="28"/>
        </w:rPr>
        <w:t>ешением от 29.12.2023 № 45 (с изменениями) Телеутского сельского Совета депутатов Каменского района «О бюджете муниципального образования Телеутский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объем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</w:t>
      </w:r>
      <w:r>
        <w:rPr>
          <w:rFonts w:ascii="Times New Roman" w:hAnsi="Times New Roman"/>
          <w:sz w:val="28"/>
          <w:szCs w:val="28"/>
        </w:rPr>
        <w:t>сельского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C17CE3">
        <w:rPr>
          <w:rFonts w:ascii="Times New Roman" w:hAnsi="Times New Roman"/>
          <w:sz w:val="28"/>
          <w:szCs w:val="28"/>
        </w:rPr>
        <w:t>163,0</w:t>
      </w:r>
      <w:r w:rsidR="00F67AE8">
        <w:rPr>
          <w:rFonts w:ascii="Times New Roman" w:hAnsi="Times New Roman"/>
          <w:sz w:val="28"/>
          <w:szCs w:val="28"/>
        </w:rPr>
        <w:t>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2024 год бюджетных ассигнований дорожного фонда в сумме </w:t>
      </w:r>
      <w:r w:rsidR="00C17CE3">
        <w:rPr>
          <w:rFonts w:ascii="Times New Roman" w:hAnsi="Times New Roman"/>
          <w:sz w:val="28"/>
          <w:szCs w:val="28"/>
        </w:rPr>
        <w:t>162,9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C17CE3">
        <w:rPr>
          <w:rFonts w:ascii="Times New Roman" w:hAnsi="Times New Roman"/>
          <w:sz w:val="28"/>
          <w:szCs w:val="28"/>
        </w:rPr>
        <w:t>99,9</w:t>
      </w:r>
      <w:r w:rsidR="0050507B">
        <w:rPr>
          <w:rFonts w:ascii="Times New Roman" w:hAnsi="Times New Roman"/>
          <w:sz w:val="28"/>
          <w:szCs w:val="28"/>
        </w:rPr>
        <w:t xml:space="preserve">% от плановых назначений.  </w:t>
      </w:r>
      <w:r w:rsidR="0050507B"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 w:rsidR="0050507B">
        <w:rPr>
          <w:rFonts w:ascii="Times New Roman" w:hAnsi="Times New Roman"/>
          <w:sz w:val="28"/>
          <w:szCs w:val="28"/>
        </w:rPr>
        <w:t>дорожного</w:t>
      </w:r>
      <w:r w:rsidR="0050507B"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C17CE3">
        <w:rPr>
          <w:rFonts w:ascii="Times New Roman" w:hAnsi="Times New Roman"/>
          <w:sz w:val="28"/>
          <w:szCs w:val="28"/>
        </w:rPr>
        <w:t>01</w:t>
      </w:r>
      <w:r w:rsidR="0050507B" w:rsidRPr="0050507B">
        <w:rPr>
          <w:rFonts w:ascii="Times New Roman" w:hAnsi="Times New Roman"/>
          <w:sz w:val="28"/>
          <w:szCs w:val="28"/>
        </w:rPr>
        <w:t>.202</w:t>
      </w:r>
      <w:r w:rsidR="00C17CE3">
        <w:rPr>
          <w:rFonts w:ascii="Times New Roman" w:hAnsi="Times New Roman"/>
          <w:sz w:val="28"/>
          <w:szCs w:val="28"/>
        </w:rPr>
        <w:t>5</w:t>
      </w:r>
      <w:r w:rsidR="005017C4">
        <w:rPr>
          <w:rFonts w:ascii="Times New Roman" w:hAnsi="Times New Roman"/>
          <w:sz w:val="28"/>
          <w:szCs w:val="28"/>
        </w:rPr>
        <w:t xml:space="preserve"> </w:t>
      </w:r>
      <w:r w:rsidR="00D86189">
        <w:rPr>
          <w:rFonts w:ascii="Times New Roman" w:hAnsi="Times New Roman"/>
          <w:sz w:val="28"/>
          <w:szCs w:val="28"/>
        </w:rPr>
        <w:t>ода</w:t>
      </w:r>
      <w:r w:rsidR="0050507B"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C17CE3">
        <w:rPr>
          <w:rFonts w:ascii="Times New Roman" w:hAnsi="Times New Roman"/>
          <w:sz w:val="28"/>
          <w:szCs w:val="28"/>
        </w:rPr>
        <w:t>0,1</w:t>
      </w:r>
      <w:r w:rsidR="007D2A36">
        <w:rPr>
          <w:rFonts w:ascii="Times New Roman" w:hAnsi="Times New Roman"/>
          <w:sz w:val="28"/>
          <w:szCs w:val="28"/>
        </w:rPr>
        <w:t xml:space="preserve"> </w:t>
      </w:r>
      <w:r w:rsidR="0050507B" w:rsidRPr="0050507B">
        <w:rPr>
          <w:rFonts w:ascii="Times New Roman" w:hAnsi="Times New Roman"/>
          <w:sz w:val="28"/>
          <w:szCs w:val="28"/>
        </w:rPr>
        <w:t>тыс. рублей</w:t>
      </w:r>
      <w:r w:rsidR="0050507B"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AC4221">
        <w:rPr>
          <w:rFonts w:ascii="Times New Roman" w:hAnsi="Times New Roman"/>
          <w:sz w:val="28"/>
          <w:szCs w:val="28"/>
        </w:rPr>
        <w:t>01</w:t>
      </w:r>
      <w:r w:rsidRPr="000E420C">
        <w:rPr>
          <w:rFonts w:ascii="Times New Roman" w:hAnsi="Times New Roman"/>
          <w:sz w:val="28"/>
          <w:szCs w:val="28"/>
        </w:rPr>
        <w:t>.202</w:t>
      </w:r>
      <w:r w:rsidR="00AC4221">
        <w:rPr>
          <w:rFonts w:ascii="Times New Roman" w:hAnsi="Times New Roman"/>
          <w:sz w:val="28"/>
          <w:szCs w:val="28"/>
        </w:rPr>
        <w:t>5</w:t>
      </w:r>
      <w:r w:rsidRPr="000E420C">
        <w:rPr>
          <w:rFonts w:ascii="Times New Roman" w:hAnsi="Times New Roman"/>
          <w:sz w:val="28"/>
          <w:szCs w:val="28"/>
        </w:rPr>
        <w:t xml:space="preserve">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AC4221">
        <w:rPr>
          <w:rFonts w:ascii="Times New Roman" w:hAnsi="Times New Roman"/>
          <w:sz w:val="28"/>
          <w:szCs w:val="28"/>
        </w:rPr>
        <w:t>335,0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202</w:t>
      </w:r>
      <w:r w:rsidR="000C4B71">
        <w:rPr>
          <w:rFonts w:ascii="Times New Roman" w:hAnsi="Times New Roman"/>
          <w:sz w:val="28"/>
          <w:szCs w:val="28"/>
        </w:rPr>
        <w:t>4</w:t>
      </w:r>
      <w:r w:rsidR="00AC4221">
        <w:rPr>
          <w:rFonts w:ascii="Times New Roman" w:hAnsi="Times New Roman"/>
          <w:sz w:val="28"/>
          <w:szCs w:val="28"/>
        </w:rPr>
        <w:t xml:space="preserve"> год</w:t>
      </w:r>
      <w:r w:rsidR="000C4B71" w:rsidRPr="000C4B71">
        <w:rPr>
          <w:rFonts w:ascii="Times New Roman" w:hAnsi="Times New Roman"/>
          <w:sz w:val="28"/>
          <w:szCs w:val="28"/>
        </w:rPr>
        <w:t xml:space="preserve"> явилось образование </w:t>
      </w:r>
      <w:r w:rsidR="005017C4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AC4221">
        <w:rPr>
          <w:rFonts w:ascii="Times New Roman" w:hAnsi="Times New Roman"/>
          <w:sz w:val="28"/>
          <w:szCs w:val="28"/>
        </w:rPr>
        <w:t>323,3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Default="00F10B98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F10B98" w:rsidRPr="002A409D" w:rsidRDefault="00F10B98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7426" w:rsidRDefault="00F10B98" w:rsidP="0045742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F10B98">
        <w:rPr>
          <w:rFonts w:ascii="Times New Roman" w:hAnsi="Times New Roman"/>
          <w:sz w:val="28"/>
          <w:szCs w:val="28"/>
        </w:rPr>
        <w:t xml:space="preserve">Контрольно-счетная палата Каменского района Алтайского края провела тщательный анализ бюджетной отчетности муниципального образования </w:t>
      </w:r>
      <w:r>
        <w:rPr>
          <w:rFonts w:ascii="Times New Roman" w:hAnsi="Times New Roman"/>
          <w:sz w:val="28"/>
          <w:szCs w:val="28"/>
        </w:rPr>
        <w:t>Телеутский</w:t>
      </w:r>
      <w:r w:rsidRPr="00F10B98">
        <w:rPr>
          <w:rFonts w:ascii="Times New Roman" w:hAnsi="Times New Roman"/>
          <w:sz w:val="28"/>
          <w:szCs w:val="28"/>
        </w:rPr>
        <w:t xml:space="preserve"> сельсовет за 2024 год. Внимательно изучив отчет «Об исполнении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Телеутского</w:t>
      </w:r>
      <w:r w:rsidRPr="00F10B98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Положения о бюджетном процессе и финансовом контроле муниципального образования </w:t>
      </w:r>
      <w:r>
        <w:rPr>
          <w:rFonts w:ascii="Times New Roman" w:hAnsi="Times New Roman"/>
          <w:sz w:val="28"/>
          <w:szCs w:val="28"/>
        </w:rPr>
        <w:t>Телеутский</w:t>
      </w:r>
      <w:r w:rsidRPr="00F10B98">
        <w:rPr>
          <w:rFonts w:ascii="Times New Roman" w:hAnsi="Times New Roman"/>
          <w:sz w:val="28"/>
          <w:szCs w:val="28"/>
        </w:rPr>
        <w:t xml:space="preserve"> сельсовет Ка</w:t>
      </w:r>
      <w:r>
        <w:rPr>
          <w:rFonts w:ascii="Times New Roman" w:hAnsi="Times New Roman"/>
          <w:sz w:val="28"/>
          <w:szCs w:val="28"/>
        </w:rPr>
        <w:t>менского района Алтайского края.</w:t>
      </w:r>
      <w:r w:rsidRPr="00F10B98">
        <w:rPr>
          <w:rFonts w:ascii="Times New Roman" w:hAnsi="Times New Roman"/>
          <w:sz w:val="28"/>
          <w:szCs w:val="28"/>
        </w:rPr>
        <w:t xml:space="preserve">  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>
        <w:rPr>
          <w:rFonts w:ascii="Times New Roman" w:hAnsi="Times New Roman"/>
          <w:sz w:val="28"/>
          <w:szCs w:val="28"/>
        </w:rPr>
        <w:t>Телеутском</w:t>
      </w:r>
      <w:r w:rsidRPr="00F10B98">
        <w:rPr>
          <w:rFonts w:ascii="Times New Roman" w:hAnsi="Times New Roman"/>
          <w:sz w:val="28"/>
          <w:szCs w:val="28"/>
        </w:rPr>
        <w:t xml:space="preserve"> сельсовете.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</w:t>
      </w:r>
      <w:r>
        <w:rPr>
          <w:rFonts w:ascii="Times New Roman" w:hAnsi="Times New Roman"/>
          <w:sz w:val="28"/>
          <w:szCs w:val="28"/>
        </w:rPr>
        <w:t>Телеутского</w:t>
      </w:r>
      <w:r w:rsidRPr="00F10B98">
        <w:rPr>
          <w:rFonts w:ascii="Times New Roman" w:hAnsi="Times New Roman"/>
          <w:sz w:val="28"/>
          <w:szCs w:val="28"/>
        </w:rPr>
        <w:t xml:space="preserve"> сельсовета за 2024 год.</w:t>
      </w:r>
    </w:p>
    <w:p w:rsidR="00F10B98" w:rsidRDefault="00F10B98" w:rsidP="0045742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58E6" w:rsidRPr="009A7F31" w:rsidRDefault="001358E6" w:rsidP="00457426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457426">
      <w:pPr>
        <w:tabs>
          <w:tab w:val="left" w:pos="709"/>
          <w:tab w:val="left" w:pos="7648"/>
        </w:tabs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2"/>
      <w:footerReference w:type="even" r:id="rId13"/>
      <w:footerReference w:type="default" r:id="rId14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4A" w:rsidRDefault="00A37C4A">
      <w:pPr>
        <w:spacing w:after="0" w:line="240" w:lineRule="auto"/>
      </w:pPr>
      <w:r>
        <w:separator/>
      </w:r>
    </w:p>
  </w:endnote>
  <w:endnote w:type="continuationSeparator" w:id="0">
    <w:p w:rsidR="00A37C4A" w:rsidRDefault="00A3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67" w:rsidRDefault="009C2F67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2F67" w:rsidRDefault="009C2F67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F67" w:rsidRDefault="009C2F67" w:rsidP="00272D38">
    <w:pPr>
      <w:pStyle w:val="a3"/>
      <w:framePr w:wrap="around" w:vAnchor="text" w:hAnchor="margin" w:xAlign="right" w:y="1"/>
      <w:rPr>
        <w:rStyle w:val="a5"/>
      </w:rPr>
    </w:pPr>
  </w:p>
  <w:p w:rsidR="009C2F67" w:rsidRDefault="009C2F67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4A" w:rsidRDefault="00A37C4A">
      <w:pPr>
        <w:spacing w:after="0" w:line="240" w:lineRule="auto"/>
      </w:pPr>
      <w:r>
        <w:separator/>
      </w:r>
    </w:p>
  </w:footnote>
  <w:footnote w:type="continuationSeparator" w:id="0">
    <w:p w:rsidR="00A37C4A" w:rsidRDefault="00A37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9C2F67" w:rsidRDefault="009C2F67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B9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2F67" w:rsidRDefault="009C2F6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290A"/>
    <w:rsid w:val="000031D8"/>
    <w:rsid w:val="000039F3"/>
    <w:rsid w:val="00003D67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0AA"/>
    <w:rsid w:val="000239D1"/>
    <w:rsid w:val="00024644"/>
    <w:rsid w:val="00025248"/>
    <w:rsid w:val="00025878"/>
    <w:rsid w:val="00025CEC"/>
    <w:rsid w:val="000267D0"/>
    <w:rsid w:val="0003408B"/>
    <w:rsid w:val="0003481F"/>
    <w:rsid w:val="00034905"/>
    <w:rsid w:val="00035337"/>
    <w:rsid w:val="00035B4B"/>
    <w:rsid w:val="0003686A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5174"/>
    <w:rsid w:val="0005764C"/>
    <w:rsid w:val="00061451"/>
    <w:rsid w:val="00063495"/>
    <w:rsid w:val="000642CA"/>
    <w:rsid w:val="000658C3"/>
    <w:rsid w:val="00067F6A"/>
    <w:rsid w:val="0007001A"/>
    <w:rsid w:val="000701D9"/>
    <w:rsid w:val="00070CCB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5DA3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050"/>
    <w:rsid w:val="00093748"/>
    <w:rsid w:val="0009620D"/>
    <w:rsid w:val="00096327"/>
    <w:rsid w:val="000963D4"/>
    <w:rsid w:val="0009707B"/>
    <w:rsid w:val="00097367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29B4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3C54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07D80"/>
    <w:rsid w:val="0011040A"/>
    <w:rsid w:val="00111555"/>
    <w:rsid w:val="00113021"/>
    <w:rsid w:val="00113756"/>
    <w:rsid w:val="00113DBC"/>
    <w:rsid w:val="00115136"/>
    <w:rsid w:val="00115210"/>
    <w:rsid w:val="00121891"/>
    <w:rsid w:val="00123229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0CE7"/>
    <w:rsid w:val="00142A08"/>
    <w:rsid w:val="00145203"/>
    <w:rsid w:val="00146433"/>
    <w:rsid w:val="0014693D"/>
    <w:rsid w:val="00146999"/>
    <w:rsid w:val="001502A4"/>
    <w:rsid w:val="0015118D"/>
    <w:rsid w:val="001512EA"/>
    <w:rsid w:val="00152EBF"/>
    <w:rsid w:val="00153CBC"/>
    <w:rsid w:val="001562D6"/>
    <w:rsid w:val="00156F48"/>
    <w:rsid w:val="0016033E"/>
    <w:rsid w:val="00161F94"/>
    <w:rsid w:val="001622D0"/>
    <w:rsid w:val="00164E6C"/>
    <w:rsid w:val="0016596D"/>
    <w:rsid w:val="00166076"/>
    <w:rsid w:val="00170E03"/>
    <w:rsid w:val="00172CE9"/>
    <w:rsid w:val="0017318E"/>
    <w:rsid w:val="001737D9"/>
    <w:rsid w:val="00173E9F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73E2"/>
    <w:rsid w:val="00187628"/>
    <w:rsid w:val="00190A62"/>
    <w:rsid w:val="0019115B"/>
    <w:rsid w:val="00192B43"/>
    <w:rsid w:val="001959B6"/>
    <w:rsid w:val="00195BE9"/>
    <w:rsid w:val="001963F0"/>
    <w:rsid w:val="001965BB"/>
    <w:rsid w:val="0019675F"/>
    <w:rsid w:val="00197557"/>
    <w:rsid w:val="001A0636"/>
    <w:rsid w:val="001A0C66"/>
    <w:rsid w:val="001A4C02"/>
    <w:rsid w:val="001A5411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6F7F"/>
    <w:rsid w:val="001E799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2D9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32A0"/>
    <w:rsid w:val="00234168"/>
    <w:rsid w:val="00234740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36B"/>
    <w:rsid w:val="00271D4E"/>
    <w:rsid w:val="002722E6"/>
    <w:rsid w:val="00272D38"/>
    <w:rsid w:val="002758AB"/>
    <w:rsid w:val="00276063"/>
    <w:rsid w:val="0027642C"/>
    <w:rsid w:val="002801DD"/>
    <w:rsid w:val="00281532"/>
    <w:rsid w:val="002830FF"/>
    <w:rsid w:val="002833BB"/>
    <w:rsid w:val="0028409F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22A7"/>
    <w:rsid w:val="002B58D4"/>
    <w:rsid w:val="002B69F4"/>
    <w:rsid w:val="002B6EFC"/>
    <w:rsid w:val="002B73D6"/>
    <w:rsid w:val="002C1E9E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608"/>
    <w:rsid w:val="002E2943"/>
    <w:rsid w:val="002E572C"/>
    <w:rsid w:val="002E5AEA"/>
    <w:rsid w:val="002E5C5D"/>
    <w:rsid w:val="002E70F0"/>
    <w:rsid w:val="002E7DD7"/>
    <w:rsid w:val="002F163C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44D9"/>
    <w:rsid w:val="00306887"/>
    <w:rsid w:val="00310FAD"/>
    <w:rsid w:val="0031162B"/>
    <w:rsid w:val="00311E57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63EC"/>
    <w:rsid w:val="00336728"/>
    <w:rsid w:val="00336AA4"/>
    <w:rsid w:val="00336FAF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F47"/>
    <w:rsid w:val="003A382C"/>
    <w:rsid w:val="003A3913"/>
    <w:rsid w:val="003A4C1B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14BC"/>
    <w:rsid w:val="003D2133"/>
    <w:rsid w:val="003D2816"/>
    <w:rsid w:val="003D4D61"/>
    <w:rsid w:val="003D5CE7"/>
    <w:rsid w:val="003D6817"/>
    <w:rsid w:val="003D7C1C"/>
    <w:rsid w:val="003E0BF9"/>
    <w:rsid w:val="003E1028"/>
    <w:rsid w:val="003E14CD"/>
    <w:rsid w:val="003E1C7A"/>
    <w:rsid w:val="003E2D5D"/>
    <w:rsid w:val="003E2FDE"/>
    <w:rsid w:val="003E39D4"/>
    <w:rsid w:val="003E4581"/>
    <w:rsid w:val="003E781A"/>
    <w:rsid w:val="003E7AB1"/>
    <w:rsid w:val="003E7B46"/>
    <w:rsid w:val="003F2808"/>
    <w:rsid w:val="003F4179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037"/>
    <w:rsid w:val="00434220"/>
    <w:rsid w:val="0043435F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426"/>
    <w:rsid w:val="00457865"/>
    <w:rsid w:val="00457ED2"/>
    <w:rsid w:val="004619D3"/>
    <w:rsid w:val="004638A4"/>
    <w:rsid w:val="00463EA0"/>
    <w:rsid w:val="00464514"/>
    <w:rsid w:val="00464BC5"/>
    <w:rsid w:val="0046547E"/>
    <w:rsid w:val="004663F8"/>
    <w:rsid w:val="004668A4"/>
    <w:rsid w:val="004669B0"/>
    <w:rsid w:val="00466AB5"/>
    <w:rsid w:val="00466B6C"/>
    <w:rsid w:val="004709B3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401F"/>
    <w:rsid w:val="0049445F"/>
    <w:rsid w:val="004951FF"/>
    <w:rsid w:val="00495E04"/>
    <w:rsid w:val="00496B50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55A1"/>
    <w:rsid w:val="004A5D7C"/>
    <w:rsid w:val="004A7091"/>
    <w:rsid w:val="004A7371"/>
    <w:rsid w:val="004A7885"/>
    <w:rsid w:val="004B35BA"/>
    <w:rsid w:val="004B3CAE"/>
    <w:rsid w:val="004B4221"/>
    <w:rsid w:val="004B57DA"/>
    <w:rsid w:val="004B62FA"/>
    <w:rsid w:val="004B7993"/>
    <w:rsid w:val="004B7D77"/>
    <w:rsid w:val="004C0207"/>
    <w:rsid w:val="004C29EF"/>
    <w:rsid w:val="004C5A7A"/>
    <w:rsid w:val="004D009B"/>
    <w:rsid w:val="004D033B"/>
    <w:rsid w:val="004D1126"/>
    <w:rsid w:val="004D11B6"/>
    <w:rsid w:val="004D164F"/>
    <w:rsid w:val="004D2B0C"/>
    <w:rsid w:val="004D32CC"/>
    <w:rsid w:val="004D3644"/>
    <w:rsid w:val="004D566E"/>
    <w:rsid w:val="004D68F4"/>
    <w:rsid w:val="004D6DE4"/>
    <w:rsid w:val="004D79CB"/>
    <w:rsid w:val="004E0917"/>
    <w:rsid w:val="004E1B6A"/>
    <w:rsid w:val="004E3D53"/>
    <w:rsid w:val="004E75E4"/>
    <w:rsid w:val="004E7A73"/>
    <w:rsid w:val="004F0086"/>
    <w:rsid w:val="004F2F7B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17C4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DA4"/>
    <w:rsid w:val="005152EC"/>
    <w:rsid w:val="00516259"/>
    <w:rsid w:val="00520735"/>
    <w:rsid w:val="00521749"/>
    <w:rsid w:val="005223C3"/>
    <w:rsid w:val="00523AD5"/>
    <w:rsid w:val="00524D74"/>
    <w:rsid w:val="00530172"/>
    <w:rsid w:val="0053218D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2592"/>
    <w:rsid w:val="00543550"/>
    <w:rsid w:val="0054494D"/>
    <w:rsid w:val="00545033"/>
    <w:rsid w:val="00545050"/>
    <w:rsid w:val="0054590F"/>
    <w:rsid w:val="0055060D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20B4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70F"/>
    <w:rsid w:val="00594AE3"/>
    <w:rsid w:val="00596598"/>
    <w:rsid w:val="00596895"/>
    <w:rsid w:val="00597AB1"/>
    <w:rsid w:val="005A0855"/>
    <w:rsid w:val="005A2BCA"/>
    <w:rsid w:val="005A48E2"/>
    <w:rsid w:val="005A56E4"/>
    <w:rsid w:val="005A57B6"/>
    <w:rsid w:val="005A6CB1"/>
    <w:rsid w:val="005A6E72"/>
    <w:rsid w:val="005A7D27"/>
    <w:rsid w:val="005B0A3F"/>
    <w:rsid w:val="005B0A43"/>
    <w:rsid w:val="005B0ECD"/>
    <w:rsid w:val="005B1355"/>
    <w:rsid w:val="005B445B"/>
    <w:rsid w:val="005B6789"/>
    <w:rsid w:val="005B70BB"/>
    <w:rsid w:val="005C0FCB"/>
    <w:rsid w:val="005C17C1"/>
    <w:rsid w:val="005C1FD3"/>
    <w:rsid w:val="005C27EF"/>
    <w:rsid w:val="005C615F"/>
    <w:rsid w:val="005C6242"/>
    <w:rsid w:val="005D6E96"/>
    <w:rsid w:val="005E010E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7F85"/>
    <w:rsid w:val="006115D9"/>
    <w:rsid w:val="00611871"/>
    <w:rsid w:val="006177E6"/>
    <w:rsid w:val="006205F3"/>
    <w:rsid w:val="00621EE6"/>
    <w:rsid w:val="006230F3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46E5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206F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7EF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591A"/>
    <w:rsid w:val="00716A02"/>
    <w:rsid w:val="007175AE"/>
    <w:rsid w:val="00721719"/>
    <w:rsid w:val="00722EB0"/>
    <w:rsid w:val="00722FE7"/>
    <w:rsid w:val="0072505D"/>
    <w:rsid w:val="007257C5"/>
    <w:rsid w:val="00726801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31A3"/>
    <w:rsid w:val="00754477"/>
    <w:rsid w:val="00755007"/>
    <w:rsid w:val="00756F2A"/>
    <w:rsid w:val="007605A1"/>
    <w:rsid w:val="007608BF"/>
    <w:rsid w:val="00761618"/>
    <w:rsid w:val="0076291D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4939"/>
    <w:rsid w:val="007855B4"/>
    <w:rsid w:val="00786D61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60FA"/>
    <w:rsid w:val="007A745B"/>
    <w:rsid w:val="007A7602"/>
    <w:rsid w:val="007A7909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5D5D"/>
    <w:rsid w:val="007C63A9"/>
    <w:rsid w:val="007C7BA9"/>
    <w:rsid w:val="007D025F"/>
    <w:rsid w:val="007D12CB"/>
    <w:rsid w:val="007D2A36"/>
    <w:rsid w:val="007D2CE8"/>
    <w:rsid w:val="007D3284"/>
    <w:rsid w:val="007D4F4D"/>
    <w:rsid w:val="007E04E4"/>
    <w:rsid w:val="007E1EAC"/>
    <w:rsid w:val="007E1F23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3BE3"/>
    <w:rsid w:val="00814510"/>
    <w:rsid w:val="008158E2"/>
    <w:rsid w:val="00815A9D"/>
    <w:rsid w:val="008163CA"/>
    <w:rsid w:val="00816553"/>
    <w:rsid w:val="008170EE"/>
    <w:rsid w:val="00820EE0"/>
    <w:rsid w:val="008210D1"/>
    <w:rsid w:val="008216B3"/>
    <w:rsid w:val="00822475"/>
    <w:rsid w:val="00822764"/>
    <w:rsid w:val="00823394"/>
    <w:rsid w:val="008245EF"/>
    <w:rsid w:val="00824A13"/>
    <w:rsid w:val="008265E1"/>
    <w:rsid w:val="00826BCC"/>
    <w:rsid w:val="008279E8"/>
    <w:rsid w:val="00830C04"/>
    <w:rsid w:val="0083160B"/>
    <w:rsid w:val="00831CC8"/>
    <w:rsid w:val="00832791"/>
    <w:rsid w:val="008332C6"/>
    <w:rsid w:val="00833695"/>
    <w:rsid w:val="0083725B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3175"/>
    <w:rsid w:val="00854880"/>
    <w:rsid w:val="008561B7"/>
    <w:rsid w:val="008566DC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39E8"/>
    <w:rsid w:val="00884958"/>
    <w:rsid w:val="008852F1"/>
    <w:rsid w:val="0088547E"/>
    <w:rsid w:val="00891CE8"/>
    <w:rsid w:val="008931DC"/>
    <w:rsid w:val="00894BA6"/>
    <w:rsid w:val="00894C9F"/>
    <w:rsid w:val="0089663A"/>
    <w:rsid w:val="0089759C"/>
    <w:rsid w:val="00897705"/>
    <w:rsid w:val="008A01D0"/>
    <w:rsid w:val="008A0D4C"/>
    <w:rsid w:val="008A2621"/>
    <w:rsid w:val="008A28E4"/>
    <w:rsid w:val="008A3647"/>
    <w:rsid w:val="008A37CC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7CA"/>
    <w:rsid w:val="008C284A"/>
    <w:rsid w:val="008C2F65"/>
    <w:rsid w:val="008C3674"/>
    <w:rsid w:val="008C4456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216A"/>
    <w:rsid w:val="008E230E"/>
    <w:rsid w:val="008E2852"/>
    <w:rsid w:val="008E412D"/>
    <w:rsid w:val="008E5206"/>
    <w:rsid w:val="008E6317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B74"/>
    <w:rsid w:val="00923C2A"/>
    <w:rsid w:val="00925CCF"/>
    <w:rsid w:val="009262DC"/>
    <w:rsid w:val="0092659D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15BD"/>
    <w:rsid w:val="0094276D"/>
    <w:rsid w:val="009429E6"/>
    <w:rsid w:val="00944E45"/>
    <w:rsid w:val="00945D9E"/>
    <w:rsid w:val="00945EFB"/>
    <w:rsid w:val="00945F9F"/>
    <w:rsid w:val="009462D1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4DF4"/>
    <w:rsid w:val="00955572"/>
    <w:rsid w:val="00955877"/>
    <w:rsid w:val="00956F5F"/>
    <w:rsid w:val="00960397"/>
    <w:rsid w:val="0096138F"/>
    <w:rsid w:val="009614D1"/>
    <w:rsid w:val="00964D55"/>
    <w:rsid w:val="009679D8"/>
    <w:rsid w:val="00970868"/>
    <w:rsid w:val="00970A15"/>
    <w:rsid w:val="009718D7"/>
    <w:rsid w:val="00972A03"/>
    <w:rsid w:val="0097486A"/>
    <w:rsid w:val="00975319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28B6"/>
    <w:rsid w:val="009A350E"/>
    <w:rsid w:val="009A43C1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B5D4D"/>
    <w:rsid w:val="009C0CB9"/>
    <w:rsid w:val="009C1259"/>
    <w:rsid w:val="009C1CAA"/>
    <w:rsid w:val="009C2F67"/>
    <w:rsid w:val="009C30BB"/>
    <w:rsid w:val="009C36D4"/>
    <w:rsid w:val="009C3F65"/>
    <w:rsid w:val="009C44D7"/>
    <w:rsid w:val="009D02DA"/>
    <w:rsid w:val="009D169E"/>
    <w:rsid w:val="009D2986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1EAB"/>
    <w:rsid w:val="009F253F"/>
    <w:rsid w:val="009F3D3A"/>
    <w:rsid w:val="009F715F"/>
    <w:rsid w:val="00A00369"/>
    <w:rsid w:val="00A0113F"/>
    <w:rsid w:val="00A031D1"/>
    <w:rsid w:val="00A04849"/>
    <w:rsid w:val="00A04F59"/>
    <w:rsid w:val="00A057A9"/>
    <w:rsid w:val="00A05892"/>
    <w:rsid w:val="00A05A35"/>
    <w:rsid w:val="00A07394"/>
    <w:rsid w:val="00A10E64"/>
    <w:rsid w:val="00A11B3D"/>
    <w:rsid w:val="00A12333"/>
    <w:rsid w:val="00A126B1"/>
    <w:rsid w:val="00A12E2F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39B8"/>
    <w:rsid w:val="00A3401C"/>
    <w:rsid w:val="00A3418D"/>
    <w:rsid w:val="00A341E7"/>
    <w:rsid w:val="00A348CC"/>
    <w:rsid w:val="00A356D3"/>
    <w:rsid w:val="00A37331"/>
    <w:rsid w:val="00A373F8"/>
    <w:rsid w:val="00A37C4A"/>
    <w:rsid w:val="00A37D8C"/>
    <w:rsid w:val="00A410F5"/>
    <w:rsid w:val="00A411B3"/>
    <w:rsid w:val="00A41735"/>
    <w:rsid w:val="00A41BD5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3681"/>
    <w:rsid w:val="00A64864"/>
    <w:rsid w:val="00A653D1"/>
    <w:rsid w:val="00A67493"/>
    <w:rsid w:val="00A70F8C"/>
    <w:rsid w:val="00A71092"/>
    <w:rsid w:val="00A717D4"/>
    <w:rsid w:val="00A73416"/>
    <w:rsid w:val="00A76556"/>
    <w:rsid w:val="00A76910"/>
    <w:rsid w:val="00A77119"/>
    <w:rsid w:val="00A773D7"/>
    <w:rsid w:val="00A77C9B"/>
    <w:rsid w:val="00A80452"/>
    <w:rsid w:val="00A81A73"/>
    <w:rsid w:val="00A826D4"/>
    <w:rsid w:val="00A8487B"/>
    <w:rsid w:val="00A84B8D"/>
    <w:rsid w:val="00A90364"/>
    <w:rsid w:val="00A91020"/>
    <w:rsid w:val="00A92056"/>
    <w:rsid w:val="00A93216"/>
    <w:rsid w:val="00A93AFF"/>
    <w:rsid w:val="00A947DD"/>
    <w:rsid w:val="00A953BE"/>
    <w:rsid w:val="00A97F23"/>
    <w:rsid w:val="00AA0D54"/>
    <w:rsid w:val="00AA0EA2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4221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097E"/>
    <w:rsid w:val="00AE177C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1BA"/>
    <w:rsid w:val="00AF1782"/>
    <w:rsid w:val="00AF20D3"/>
    <w:rsid w:val="00AF3C7A"/>
    <w:rsid w:val="00AF46AA"/>
    <w:rsid w:val="00AF5355"/>
    <w:rsid w:val="00AF6400"/>
    <w:rsid w:val="00AF66E1"/>
    <w:rsid w:val="00AF7660"/>
    <w:rsid w:val="00AF79FC"/>
    <w:rsid w:val="00B005A3"/>
    <w:rsid w:val="00B03566"/>
    <w:rsid w:val="00B0427F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5249"/>
    <w:rsid w:val="00B46B88"/>
    <w:rsid w:val="00B50D29"/>
    <w:rsid w:val="00B51182"/>
    <w:rsid w:val="00B536CA"/>
    <w:rsid w:val="00B53789"/>
    <w:rsid w:val="00B54BC0"/>
    <w:rsid w:val="00B55D90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DC9"/>
    <w:rsid w:val="00B86CE1"/>
    <w:rsid w:val="00B86E63"/>
    <w:rsid w:val="00B876C9"/>
    <w:rsid w:val="00B90F5D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6AEC"/>
    <w:rsid w:val="00B96F42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5620"/>
    <w:rsid w:val="00BD6487"/>
    <w:rsid w:val="00BD66CB"/>
    <w:rsid w:val="00BD7D93"/>
    <w:rsid w:val="00BE00E5"/>
    <w:rsid w:val="00BE092B"/>
    <w:rsid w:val="00BE095C"/>
    <w:rsid w:val="00BE461D"/>
    <w:rsid w:val="00BE5785"/>
    <w:rsid w:val="00BE61B7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32BE"/>
    <w:rsid w:val="00C05348"/>
    <w:rsid w:val="00C072AF"/>
    <w:rsid w:val="00C07D14"/>
    <w:rsid w:val="00C12B5A"/>
    <w:rsid w:val="00C12FC8"/>
    <w:rsid w:val="00C134DC"/>
    <w:rsid w:val="00C13F44"/>
    <w:rsid w:val="00C14350"/>
    <w:rsid w:val="00C1523D"/>
    <w:rsid w:val="00C154E6"/>
    <w:rsid w:val="00C15F23"/>
    <w:rsid w:val="00C17CE3"/>
    <w:rsid w:val="00C21013"/>
    <w:rsid w:val="00C2181B"/>
    <w:rsid w:val="00C219A3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4995"/>
    <w:rsid w:val="00C45040"/>
    <w:rsid w:val="00C45069"/>
    <w:rsid w:val="00C4664D"/>
    <w:rsid w:val="00C46C31"/>
    <w:rsid w:val="00C50B68"/>
    <w:rsid w:val="00C51021"/>
    <w:rsid w:val="00C512AD"/>
    <w:rsid w:val="00C53516"/>
    <w:rsid w:val="00C5364A"/>
    <w:rsid w:val="00C53706"/>
    <w:rsid w:val="00C53966"/>
    <w:rsid w:val="00C53F65"/>
    <w:rsid w:val="00C56F13"/>
    <w:rsid w:val="00C575A0"/>
    <w:rsid w:val="00C60DC9"/>
    <w:rsid w:val="00C615CA"/>
    <w:rsid w:val="00C62040"/>
    <w:rsid w:val="00C62F18"/>
    <w:rsid w:val="00C63F9E"/>
    <w:rsid w:val="00C6492B"/>
    <w:rsid w:val="00C653FA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4617"/>
    <w:rsid w:val="00CC000A"/>
    <w:rsid w:val="00CC005E"/>
    <w:rsid w:val="00CC06E5"/>
    <w:rsid w:val="00CC08D6"/>
    <w:rsid w:val="00CC11BA"/>
    <w:rsid w:val="00CC2C82"/>
    <w:rsid w:val="00CC4AAC"/>
    <w:rsid w:val="00CC5652"/>
    <w:rsid w:val="00CC5D97"/>
    <w:rsid w:val="00CC67A6"/>
    <w:rsid w:val="00CC69E0"/>
    <w:rsid w:val="00CC7C33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614E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6353"/>
    <w:rsid w:val="00D07483"/>
    <w:rsid w:val="00D11371"/>
    <w:rsid w:val="00D11CBF"/>
    <w:rsid w:val="00D1239A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4D22"/>
    <w:rsid w:val="00D26EB0"/>
    <w:rsid w:val="00D27EDC"/>
    <w:rsid w:val="00D30DC0"/>
    <w:rsid w:val="00D31F24"/>
    <w:rsid w:val="00D32799"/>
    <w:rsid w:val="00D32C87"/>
    <w:rsid w:val="00D33B90"/>
    <w:rsid w:val="00D3539E"/>
    <w:rsid w:val="00D35F8C"/>
    <w:rsid w:val="00D36C92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3E48"/>
    <w:rsid w:val="00D5468B"/>
    <w:rsid w:val="00D553AC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2232"/>
    <w:rsid w:val="00D83BBB"/>
    <w:rsid w:val="00D83D38"/>
    <w:rsid w:val="00D842ED"/>
    <w:rsid w:val="00D8561A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6C27"/>
    <w:rsid w:val="00DB0D4E"/>
    <w:rsid w:val="00DB0F69"/>
    <w:rsid w:val="00DB152D"/>
    <w:rsid w:val="00DB28EF"/>
    <w:rsid w:val="00DB3149"/>
    <w:rsid w:val="00DB3506"/>
    <w:rsid w:val="00DB36D0"/>
    <w:rsid w:val="00DB7BCD"/>
    <w:rsid w:val="00DB7C30"/>
    <w:rsid w:val="00DB7FB8"/>
    <w:rsid w:val="00DC0165"/>
    <w:rsid w:val="00DC204C"/>
    <w:rsid w:val="00DC283A"/>
    <w:rsid w:val="00DC3E59"/>
    <w:rsid w:val="00DC6137"/>
    <w:rsid w:val="00DC6320"/>
    <w:rsid w:val="00DC7187"/>
    <w:rsid w:val="00DC7ABC"/>
    <w:rsid w:val="00DD0374"/>
    <w:rsid w:val="00DD0461"/>
    <w:rsid w:val="00DD0A98"/>
    <w:rsid w:val="00DD23C0"/>
    <w:rsid w:val="00DD25C1"/>
    <w:rsid w:val="00DD277A"/>
    <w:rsid w:val="00DD3477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6D34"/>
    <w:rsid w:val="00DF7214"/>
    <w:rsid w:val="00DF7D3A"/>
    <w:rsid w:val="00E00566"/>
    <w:rsid w:val="00E0163D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2A2E"/>
    <w:rsid w:val="00E739FD"/>
    <w:rsid w:val="00E73E1B"/>
    <w:rsid w:val="00E751B8"/>
    <w:rsid w:val="00E75409"/>
    <w:rsid w:val="00E75786"/>
    <w:rsid w:val="00E75D7C"/>
    <w:rsid w:val="00E761F9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95A50"/>
    <w:rsid w:val="00E95F55"/>
    <w:rsid w:val="00E9606A"/>
    <w:rsid w:val="00E976DB"/>
    <w:rsid w:val="00EA006C"/>
    <w:rsid w:val="00EA0FFE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7881"/>
    <w:rsid w:val="00EB7D4A"/>
    <w:rsid w:val="00EC0E69"/>
    <w:rsid w:val="00EC4A56"/>
    <w:rsid w:val="00EC6779"/>
    <w:rsid w:val="00EC691C"/>
    <w:rsid w:val="00EC7289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78B2"/>
    <w:rsid w:val="00EE0966"/>
    <w:rsid w:val="00EE0A69"/>
    <w:rsid w:val="00EE2F61"/>
    <w:rsid w:val="00EE3027"/>
    <w:rsid w:val="00EE311F"/>
    <w:rsid w:val="00EE4BAC"/>
    <w:rsid w:val="00EE4FD7"/>
    <w:rsid w:val="00EE51A6"/>
    <w:rsid w:val="00EE563D"/>
    <w:rsid w:val="00EF09DD"/>
    <w:rsid w:val="00EF1738"/>
    <w:rsid w:val="00EF2C8F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0B98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0482"/>
    <w:rsid w:val="00F21DAE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638C"/>
    <w:rsid w:val="00F57227"/>
    <w:rsid w:val="00F57560"/>
    <w:rsid w:val="00F576BC"/>
    <w:rsid w:val="00F61457"/>
    <w:rsid w:val="00F61922"/>
    <w:rsid w:val="00F6204B"/>
    <w:rsid w:val="00F64366"/>
    <w:rsid w:val="00F67AE8"/>
    <w:rsid w:val="00F705B1"/>
    <w:rsid w:val="00F73078"/>
    <w:rsid w:val="00F737DE"/>
    <w:rsid w:val="00F74860"/>
    <w:rsid w:val="00F74B22"/>
    <w:rsid w:val="00F7608C"/>
    <w:rsid w:val="00F766DD"/>
    <w:rsid w:val="00F7685F"/>
    <w:rsid w:val="00F76883"/>
    <w:rsid w:val="00F77BED"/>
    <w:rsid w:val="00F80363"/>
    <w:rsid w:val="00F8106B"/>
    <w:rsid w:val="00F82736"/>
    <w:rsid w:val="00F90899"/>
    <w:rsid w:val="00F93435"/>
    <w:rsid w:val="00F94B4F"/>
    <w:rsid w:val="00F97FE8"/>
    <w:rsid w:val="00FA1DCD"/>
    <w:rsid w:val="00FA2796"/>
    <w:rsid w:val="00FA314D"/>
    <w:rsid w:val="00FA3190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поступления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 </c:v>
                </c:pt>
                <c:pt idx="4">
                  <c:v>Земельный налог с физических лиц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1.3</c:v>
                </c:pt>
                <c:pt idx="1">
                  <c:v>3</c:v>
                </c:pt>
                <c:pt idx="2">
                  <c:v>9</c:v>
                </c:pt>
                <c:pt idx="3">
                  <c:v>27.9</c:v>
                </c:pt>
                <c:pt idx="4">
                  <c:v>58.9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46296296296297"/>
          <c:y val="0.24519466316710412"/>
          <c:w val="0.82407407407407407"/>
          <c:h val="0.680146544181977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поступления</c:v>
                </c:pt>
              </c:strCache>
            </c:strRef>
          </c:tx>
          <c:explosion val="16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Дходы от сдачи в аренду имущества, находящегося в оперативном управлении органов управления сельских поселений</c:v>
                </c:pt>
                <c:pt idx="1">
                  <c:v>Штрафы, санкции, возмещение ущерба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65.8</c:v>
                </c:pt>
                <c:pt idx="1">
                  <c:v>34.200000000000003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E22F-F3E1-4913-9D53-40F2433F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194</cp:revision>
  <cp:lastPrinted>2022-02-24T02:36:00Z</cp:lastPrinted>
  <dcterms:created xsi:type="dcterms:W3CDTF">2024-05-06T06:09:00Z</dcterms:created>
  <dcterms:modified xsi:type="dcterms:W3CDTF">2025-03-24T08:48:00Z</dcterms:modified>
</cp:coreProperties>
</file>