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F54718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F54718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F54718">
        <w:rPr>
          <w:rFonts w:ascii="Times New Roman" w:hAnsi="Times New Roman"/>
          <w:b/>
          <w:sz w:val="18"/>
          <w:szCs w:val="18"/>
        </w:rPr>
        <w:t xml:space="preserve">: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KSP</w:t>
      </w:r>
      <w:r w:rsidRPr="00F54718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KAM</w:t>
      </w:r>
      <w:r w:rsidRPr="00F54718">
        <w:rPr>
          <w:rFonts w:ascii="Times New Roman" w:hAnsi="Times New Roman"/>
          <w:b/>
          <w:sz w:val="18"/>
          <w:szCs w:val="18"/>
        </w:rPr>
        <w:t>210923@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F54718">
        <w:rPr>
          <w:rFonts w:ascii="Times New Roman" w:hAnsi="Times New Roman"/>
          <w:b/>
          <w:sz w:val="18"/>
          <w:szCs w:val="18"/>
        </w:rPr>
        <w:t>.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RU</w:t>
      </w:r>
      <w:r w:rsidRPr="00F54718">
        <w:rPr>
          <w:rFonts w:ascii="Times New Roman" w:hAnsi="Times New Roman"/>
          <w:b/>
          <w:sz w:val="18"/>
          <w:szCs w:val="18"/>
        </w:rPr>
        <w:cr/>
      </w:r>
      <w:r w:rsidR="002B07F7" w:rsidRPr="00F54718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F5471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F5471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F54718">
        <w:rPr>
          <w:rFonts w:ascii="Times New Roman" w:hAnsi="Times New Roman"/>
          <w:sz w:val="28"/>
          <w:szCs w:val="28"/>
        </w:rPr>
        <w:t>31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F54718">
        <w:rPr>
          <w:rFonts w:ascii="Times New Roman" w:hAnsi="Times New Roman"/>
          <w:sz w:val="28"/>
          <w:szCs w:val="28"/>
        </w:rPr>
        <w:t>марта</w:t>
      </w:r>
      <w:r w:rsidRPr="004D32CC">
        <w:rPr>
          <w:rFonts w:ascii="Times New Roman" w:hAnsi="Times New Roman"/>
          <w:sz w:val="28"/>
          <w:szCs w:val="28"/>
        </w:rPr>
        <w:t xml:space="preserve"> 202</w:t>
      </w:r>
      <w:r w:rsidR="00F54718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 года № 3</w:t>
      </w:r>
      <w:r w:rsidR="00F54718">
        <w:rPr>
          <w:rFonts w:ascii="Times New Roman" w:hAnsi="Times New Roman"/>
          <w:sz w:val="28"/>
          <w:szCs w:val="28"/>
        </w:rPr>
        <w:t>7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0E2" w:rsidRPr="003830E2" w:rsidRDefault="004D32CC" w:rsidP="003830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</w:t>
      </w:r>
      <w:r w:rsidR="003830E2" w:rsidRPr="003830E2">
        <w:rPr>
          <w:rFonts w:ascii="Times New Roman" w:hAnsi="Times New Roman"/>
          <w:sz w:val="28"/>
          <w:szCs w:val="28"/>
        </w:rPr>
        <w:t xml:space="preserve">    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3830E2" w:rsidRPr="003830E2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r w:rsidR="00F02143" w:rsidRPr="002557E2">
        <w:rPr>
          <w:rFonts w:ascii="Times New Roman" w:hAnsi="Times New Roman"/>
          <w:sz w:val="28"/>
          <w:szCs w:val="28"/>
        </w:rPr>
        <w:t>проекта решения  Каменского городского Совета депутатов</w:t>
      </w:r>
      <w:r w:rsidR="003830E2">
        <w:rPr>
          <w:rFonts w:ascii="Times New Roman" w:hAnsi="Times New Roman"/>
          <w:sz w:val="28"/>
          <w:szCs w:val="28"/>
        </w:rPr>
        <w:t xml:space="preserve"> </w:t>
      </w:r>
      <w:r w:rsidR="00F02143" w:rsidRPr="002557E2">
        <w:rPr>
          <w:rFonts w:ascii="Times New Roman" w:hAnsi="Times New Roman"/>
          <w:sz w:val="28"/>
          <w:szCs w:val="28"/>
        </w:rPr>
        <w:t xml:space="preserve">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202</w:t>
      </w:r>
      <w:r w:rsidR="003830E2">
        <w:rPr>
          <w:rFonts w:ascii="Times New Roman" w:hAnsi="Times New Roman"/>
          <w:sz w:val="28"/>
          <w:szCs w:val="28"/>
        </w:rPr>
        <w:t>4</w:t>
      </w:r>
      <w:r w:rsidR="00F02143" w:rsidRPr="002557E2">
        <w:rPr>
          <w:rFonts w:ascii="Times New Roman" w:hAnsi="Times New Roman"/>
          <w:sz w:val="28"/>
          <w:szCs w:val="28"/>
        </w:rPr>
        <w:t xml:space="preserve"> год»</w:t>
      </w:r>
      <w:r w:rsidRPr="002557E2">
        <w:rPr>
          <w:rFonts w:ascii="Times New Roman" w:hAnsi="Times New Roman"/>
          <w:sz w:val="28"/>
          <w:szCs w:val="28"/>
        </w:rPr>
        <w:t>.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3830E2">
        <w:rPr>
          <w:rFonts w:ascii="Times New Roman" w:hAnsi="Times New Roman"/>
          <w:sz w:val="28"/>
          <w:szCs w:val="28"/>
        </w:rPr>
        <w:t>31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3830E2">
        <w:rPr>
          <w:rFonts w:ascii="Times New Roman" w:hAnsi="Times New Roman"/>
          <w:sz w:val="28"/>
          <w:szCs w:val="28"/>
        </w:rPr>
        <w:t>марта</w:t>
      </w:r>
      <w:r w:rsidRPr="002557E2">
        <w:rPr>
          <w:rFonts w:ascii="Times New Roman" w:hAnsi="Times New Roman"/>
          <w:sz w:val="28"/>
          <w:szCs w:val="28"/>
        </w:rPr>
        <w:t xml:space="preserve"> 202</w:t>
      </w:r>
      <w:r w:rsidR="003830E2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 по </w:t>
      </w:r>
      <w:r w:rsidR="003830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1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3830E2">
        <w:rPr>
          <w:rFonts w:ascii="Times New Roman" w:hAnsi="Times New Roman"/>
          <w:sz w:val="28"/>
          <w:szCs w:val="28"/>
        </w:rPr>
        <w:t>марта</w:t>
      </w:r>
      <w:r w:rsidRPr="002557E2">
        <w:rPr>
          <w:rFonts w:ascii="Times New Roman" w:hAnsi="Times New Roman"/>
          <w:sz w:val="28"/>
          <w:szCs w:val="28"/>
        </w:rPr>
        <w:t xml:space="preserve"> 202</w:t>
      </w:r>
      <w:r w:rsidR="003830E2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 xml:space="preserve">Назначить </w:t>
      </w:r>
      <w:proofErr w:type="gramStart"/>
      <w:r w:rsidR="004D32CC" w:rsidRPr="004D32CC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Pr="004D32CC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F54718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F54718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54718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F54718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F54718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54718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F54718">
        <w:rPr>
          <w:rFonts w:ascii="Times New Roman" w:hAnsi="Times New Roman"/>
          <w:b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F5471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B1220A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1.0</w:t>
      </w:r>
      <w:r>
        <w:rPr>
          <w:rFonts w:ascii="Times New Roman" w:hAnsi="Times New Roman"/>
          <w:sz w:val="28"/>
          <w:szCs w:val="28"/>
          <w:u w:val="single"/>
        </w:rPr>
        <w:t>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60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B86E63" w:rsidRPr="00B86E63">
        <w:rPr>
          <w:rFonts w:ascii="Times New Roman" w:hAnsi="Times New Roman"/>
          <w:sz w:val="28"/>
          <w:szCs w:val="28"/>
        </w:rPr>
        <w:t>Главе района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4D32CC" w:rsidRPr="00B86E63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Панченко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884958" w:rsidRDefault="00B86E63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>
        <w:rPr>
          <w:rFonts w:ascii="Times New Roman" w:hAnsi="Times New Roman"/>
          <w:b/>
          <w:sz w:val="18"/>
          <w:szCs w:val="18"/>
        </w:rPr>
        <w:tab/>
      </w:r>
      <w:r w:rsidRPr="00884958">
        <w:rPr>
          <w:rFonts w:ascii="Times New Roman" w:hAnsi="Times New Roman"/>
          <w:sz w:val="28"/>
          <w:szCs w:val="28"/>
        </w:rPr>
        <w:t xml:space="preserve"> </w:t>
      </w:r>
      <w:r w:rsidR="00884958">
        <w:rPr>
          <w:rFonts w:ascii="Times New Roman" w:hAnsi="Times New Roman"/>
          <w:sz w:val="28"/>
          <w:szCs w:val="28"/>
        </w:rPr>
        <w:t xml:space="preserve">  </w:t>
      </w:r>
      <w:r w:rsidRPr="00884958">
        <w:rPr>
          <w:rFonts w:ascii="Times New Roman" w:hAnsi="Times New Roman"/>
          <w:sz w:val="28"/>
          <w:szCs w:val="28"/>
        </w:rPr>
        <w:t>Главе города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Камень-на-Оби</w:t>
      </w:r>
    </w:p>
    <w:p w:rsidR="004D32CC" w:rsidRPr="00884958" w:rsidRDefault="00884958" w:rsidP="00884958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Е.П. </w:t>
      </w:r>
      <w:proofErr w:type="spellStart"/>
      <w:r>
        <w:rPr>
          <w:rFonts w:ascii="Times New Roman" w:hAnsi="Times New Roman"/>
          <w:sz w:val="28"/>
          <w:szCs w:val="28"/>
        </w:rPr>
        <w:t>Чернышову</w:t>
      </w:r>
      <w:proofErr w:type="spellEnd"/>
    </w:p>
    <w:p w:rsidR="004D32CC" w:rsidRPr="0088495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1358E6" w:rsidRPr="00974562" w:rsidRDefault="002B07F7" w:rsidP="001358E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1622D0" w:rsidRDefault="00840FD1" w:rsidP="001358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32188E">
        <w:rPr>
          <w:rFonts w:ascii="Times New Roman" w:hAnsi="Times New Roman"/>
          <w:b/>
          <w:sz w:val="28"/>
          <w:szCs w:val="28"/>
        </w:rPr>
        <w:t xml:space="preserve">а </w:t>
      </w:r>
      <w:r w:rsidR="003739E2">
        <w:rPr>
          <w:rFonts w:ascii="Times New Roman" w:hAnsi="Times New Roman"/>
          <w:b/>
          <w:sz w:val="28"/>
          <w:szCs w:val="28"/>
        </w:rPr>
        <w:t>проект</w:t>
      </w:r>
      <w:r w:rsidR="003739E2" w:rsidRPr="003739E2">
        <w:rPr>
          <w:rFonts w:ascii="Times New Roman" w:hAnsi="Times New Roman"/>
          <w:b/>
          <w:sz w:val="28"/>
          <w:szCs w:val="28"/>
        </w:rPr>
        <w:t xml:space="preserve"> решения  Каменского городского Совета депутатов 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2024 год».</w:t>
      </w:r>
    </w:p>
    <w:p w:rsidR="00E1324D" w:rsidRDefault="00E1324D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1162B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на основании </w:t>
      </w:r>
      <w:r w:rsidR="00FF473E" w:rsidRPr="00FF473E">
        <w:rPr>
          <w:rFonts w:ascii="Times New Roman" w:hAnsi="Times New Roman"/>
          <w:sz w:val="28"/>
          <w:szCs w:val="28"/>
        </w:rPr>
        <w:t>Положени</w:t>
      </w:r>
      <w:r w:rsidR="00FF473E">
        <w:rPr>
          <w:rFonts w:ascii="Times New Roman" w:hAnsi="Times New Roman"/>
          <w:sz w:val="28"/>
          <w:szCs w:val="28"/>
        </w:rPr>
        <w:t>я</w:t>
      </w:r>
      <w:r w:rsidR="00FF473E" w:rsidRPr="00FF473E">
        <w:rPr>
          <w:rFonts w:ascii="Times New Roman" w:hAnsi="Times New Roman"/>
          <w:sz w:val="28"/>
          <w:szCs w:val="28"/>
        </w:rPr>
        <w:t xml:space="preserve">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r w:rsidR="003739E2">
        <w:rPr>
          <w:rFonts w:ascii="Times New Roman" w:hAnsi="Times New Roman"/>
          <w:sz w:val="28"/>
          <w:szCs w:val="28"/>
        </w:rPr>
        <w:t>29.03.2022 года № 12 (статья 8);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3739E2">
        <w:rPr>
          <w:rFonts w:ascii="Times New Roman" w:hAnsi="Times New Roman"/>
          <w:sz w:val="28"/>
          <w:szCs w:val="28"/>
        </w:rPr>
        <w:t>п</w:t>
      </w:r>
      <w:r w:rsidR="003739E2" w:rsidRPr="003739E2">
        <w:rPr>
          <w:rFonts w:ascii="Times New Roman" w:hAnsi="Times New Roman"/>
          <w:sz w:val="28"/>
          <w:szCs w:val="28"/>
        </w:rPr>
        <w:t>ункт 3.1 плана работы Контрольно-счетной палаты  Каменского района Алтайского края на 2025 год, утвержденного распоряжением Контрольно-счетной платы Каменского района Алтайского края от 18.12.2024 № 172(с изменениями от 29.01.2025 №104</w:t>
      </w:r>
      <w:r w:rsidR="003739E2">
        <w:rPr>
          <w:rFonts w:ascii="Times New Roman" w:hAnsi="Times New Roman"/>
          <w:sz w:val="28"/>
          <w:szCs w:val="28"/>
        </w:rPr>
        <w:t>)</w:t>
      </w:r>
      <w:r w:rsidR="00DB3506" w:rsidRPr="00DB3506">
        <w:rPr>
          <w:rFonts w:ascii="Times New Roman" w:hAnsi="Times New Roman"/>
          <w:sz w:val="28"/>
          <w:szCs w:val="28"/>
        </w:rPr>
        <w:t>;</w:t>
      </w:r>
      <w:r w:rsidR="003739E2">
        <w:rPr>
          <w:rFonts w:ascii="Times New Roman" w:hAnsi="Times New Roman"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 xml:space="preserve"> распоряжения Контрольно-счетной палаты Каменского района Алтайского края от </w:t>
      </w:r>
      <w:r w:rsidR="003739E2">
        <w:rPr>
          <w:rFonts w:ascii="Times New Roman" w:hAnsi="Times New Roman"/>
          <w:sz w:val="28"/>
          <w:szCs w:val="28"/>
        </w:rPr>
        <w:t>31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3739E2">
        <w:rPr>
          <w:rFonts w:ascii="Times New Roman" w:hAnsi="Times New Roman"/>
          <w:sz w:val="28"/>
          <w:szCs w:val="28"/>
        </w:rPr>
        <w:t>03.</w:t>
      </w:r>
      <w:r w:rsidR="00DB3506" w:rsidRPr="00DB3506">
        <w:rPr>
          <w:rFonts w:ascii="Times New Roman" w:hAnsi="Times New Roman"/>
          <w:sz w:val="28"/>
          <w:szCs w:val="28"/>
        </w:rPr>
        <w:t>202</w:t>
      </w:r>
      <w:r w:rsidR="003739E2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CE70F7">
        <w:rPr>
          <w:rFonts w:ascii="Times New Roman" w:hAnsi="Times New Roman"/>
          <w:sz w:val="28"/>
          <w:szCs w:val="28"/>
        </w:rPr>
        <w:t>3</w:t>
      </w:r>
      <w:r w:rsidR="003739E2">
        <w:rPr>
          <w:rFonts w:ascii="Times New Roman" w:hAnsi="Times New Roman"/>
          <w:sz w:val="28"/>
          <w:szCs w:val="28"/>
        </w:rPr>
        <w:t xml:space="preserve">7. 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46547E" w:rsidRDefault="008D2DD1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739E2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1162B" w:rsidRPr="0031162B">
        <w:rPr>
          <w:rFonts w:ascii="Times New Roman" w:hAnsi="Times New Roman"/>
          <w:sz w:val="28"/>
          <w:szCs w:val="28"/>
        </w:rPr>
        <w:t xml:space="preserve">проект решения  Каменского городского Совета депутатов Каменского района Алтайского края «Об  утверждении  отчета об исполнении бюджета </w:t>
      </w:r>
      <w:r w:rsidR="0031162B" w:rsidRPr="0031162B">
        <w:rPr>
          <w:rFonts w:ascii="Times New Roman" w:hAnsi="Times New Roman"/>
          <w:sz w:val="28"/>
          <w:szCs w:val="28"/>
        </w:rPr>
        <w:lastRenderedPageBreak/>
        <w:t>муниципального образования город Камень-на-Оби Каменского района Алтайского края за 202</w:t>
      </w:r>
      <w:r w:rsidR="00665C22">
        <w:rPr>
          <w:rFonts w:ascii="Times New Roman" w:hAnsi="Times New Roman"/>
          <w:sz w:val="28"/>
          <w:szCs w:val="28"/>
        </w:rPr>
        <w:t>4</w:t>
      </w:r>
      <w:r w:rsidR="0031162B" w:rsidRPr="0031162B">
        <w:rPr>
          <w:rFonts w:ascii="Times New Roman" w:hAnsi="Times New Roman"/>
          <w:sz w:val="28"/>
          <w:szCs w:val="28"/>
        </w:rPr>
        <w:t xml:space="preserve"> год</w:t>
      </w:r>
      <w:r w:rsidR="0031162B">
        <w:rPr>
          <w:rFonts w:ascii="Times New Roman" w:hAnsi="Times New Roman"/>
          <w:sz w:val="28"/>
          <w:szCs w:val="28"/>
        </w:rPr>
        <w:t>»</w:t>
      </w:r>
      <w:r w:rsidR="0046547E" w:rsidRPr="002A409D">
        <w:rPr>
          <w:rFonts w:ascii="Times New Roman" w:hAnsi="Times New Roman"/>
          <w:sz w:val="28"/>
          <w:szCs w:val="28"/>
        </w:rPr>
        <w:t>.</w:t>
      </w:r>
    </w:p>
    <w:p w:rsidR="001358E6" w:rsidRDefault="001358E6" w:rsidP="001358E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 xml:space="preserve">Объект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E781A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Комитет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Pr="002A409D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1358E6" w:rsidRPr="002A409D" w:rsidRDefault="001358E6" w:rsidP="001358E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 «</w:t>
      </w:r>
      <w:r w:rsidR="00007A13">
        <w:rPr>
          <w:rFonts w:ascii="Times New Roman" w:hAnsi="Times New Roman"/>
          <w:sz w:val="28"/>
          <w:szCs w:val="28"/>
        </w:rPr>
        <w:t>31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007A13">
        <w:rPr>
          <w:rFonts w:ascii="Times New Roman" w:hAnsi="Times New Roman"/>
          <w:sz w:val="28"/>
          <w:szCs w:val="28"/>
        </w:rPr>
        <w:t>марта</w:t>
      </w:r>
      <w:r w:rsidRPr="002A409D">
        <w:rPr>
          <w:rFonts w:ascii="Times New Roman" w:hAnsi="Times New Roman"/>
          <w:sz w:val="28"/>
          <w:szCs w:val="28"/>
        </w:rPr>
        <w:t xml:space="preserve"> по «</w:t>
      </w:r>
      <w:r w:rsidR="00007A13">
        <w:rPr>
          <w:rFonts w:ascii="Times New Roman" w:hAnsi="Times New Roman"/>
          <w:sz w:val="28"/>
          <w:szCs w:val="28"/>
        </w:rPr>
        <w:t>3</w:t>
      </w:r>
      <w:r w:rsidR="003E781A">
        <w:rPr>
          <w:rFonts w:ascii="Times New Roman" w:hAnsi="Times New Roman"/>
          <w:sz w:val="28"/>
          <w:szCs w:val="28"/>
        </w:rPr>
        <w:t>1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007A13">
        <w:rPr>
          <w:rFonts w:ascii="Times New Roman" w:hAnsi="Times New Roman"/>
          <w:sz w:val="28"/>
          <w:szCs w:val="28"/>
        </w:rPr>
        <w:t>марта</w:t>
      </w:r>
      <w:r w:rsidRPr="002A409D">
        <w:rPr>
          <w:rFonts w:ascii="Times New Roman" w:hAnsi="Times New Roman"/>
          <w:sz w:val="28"/>
          <w:szCs w:val="28"/>
        </w:rPr>
        <w:t xml:space="preserve"> 202</w:t>
      </w:r>
      <w:r w:rsidR="00007A13">
        <w:rPr>
          <w:rFonts w:ascii="Times New Roman" w:hAnsi="Times New Roman"/>
          <w:sz w:val="28"/>
          <w:szCs w:val="28"/>
        </w:rPr>
        <w:t xml:space="preserve">5 </w:t>
      </w:r>
      <w:r w:rsidRPr="002A409D">
        <w:rPr>
          <w:rFonts w:ascii="Times New Roman" w:hAnsi="Times New Roman"/>
          <w:sz w:val="28"/>
          <w:szCs w:val="28"/>
        </w:rPr>
        <w:t>года.</w:t>
      </w:r>
    </w:p>
    <w:p w:rsidR="00166076" w:rsidRPr="002A409D" w:rsidRDefault="001358E6" w:rsidP="00570B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="00166076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B14B4C" w:rsidRPr="002A409D" w:rsidRDefault="001358E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4B4C" w:rsidRPr="002A409D">
        <w:rPr>
          <w:rFonts w:ascii="Times New Roman" w:hAnsi="Times New Roman"/>
          <w:sz w:val="28"/>
          <w:szCs w:val="28"/>
        </w:rPr>
        <w:t xml:space="preserve">1. установление полноты и прозрачности бюджетной отчетности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3A6878" w:rsidRPr="002A409D">
        <w:rPr>
          <w:rFonts w:ascii="Times New Roman" w:hAnsi="Times New Roman"/>
          <w:b/>
          <w:sz w:val="28"/>
          <w:szCs w:val="28"/>
        </w:rPr>
        <w:t xml:space="preserve">  </w:t>
      </w:r>
      <w:r w:rsidR="00B14B4C" w:rsidRPr="002A409D">
        <w:rPr>
          <w:rFonts w:ascii="Times New Roman" w:hAnsi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B14B4C" w:rsidRPr="002A409D">
        <w:rPr>
          <w:rFonts w:ascii="Times New Roman" w:hAnsi="Times New Roman"/>
          <w:sz w:val="28"/>
          <w:szCs w:val="28"/>
        </w:rPr>
        <w:cr/>
      </w:r>
      <w:r w:rsidR="0003481F" w:rsidRPr="002A409D">
        <w:rPr>
          <w:rFonts w:ascii="Times New Roman" w:hAnsi="Times New Roman"/>
          <w:sz w:val="28"/>
          <w:szCs w:val="28"/>
        </w:rPr>
        <w:t xml:space="preserve">          </w:t>
      </w:r>
      <w:r w:rsidR="00B14B4C" w:rsidRPr="002A409D">
        <w:rPr>
          <w:rFonts w:ascii="Times New Roman" w:hAnsi="Times New Roman"/>
          <w:sz w:val="28"/>
          <w:szCs w:val="28"/>
        </w:rPr>
        <w:t>2.  оценка достовер</w:t>
      </w:r>
      <w:r w:rsidR="00A319FA" w:rsidRPr="002A409D">
        <w:rPr>
          <w:rFonts w:ascii="Times New Roman" w:hAnsi="Times New Roman"/>
          <w:sz w:val="28"/>
          <w:szCs w:val="28"/>
        </w:rPr>
        <w:t>ности показателей бюджетной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B14B4C" w:rsidRPr="002A409D">
        <w:rPr>
          <w:rFonts w:ascii="Times New Roman" w:hAnsi="Times New Roman"/>
          <w:sz w:val="28"/>
          <w:szCs w:val="28"/>
        </w:rPr>
        <w:t>, внутренней согласова</w:t>
      </w:r>
      <w:r w:rsidR="00A319FA" w:rsidRPr="002A409D">
        <w:rPr>
          <w:rFonts w:ascii="Times New Roman" w:hAnsi="Times New Roman"/>
          <w:sz w:val="28"/>
          <w:szCs w:val="28"/>
        </w:rPr>
        <w:t>нности соответствующих форм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тности, соблюдение контрольных соотношений. </w:t>
      </w:r>
    </w:p>
    <w:p w:rsidR="001358E6" w:rsidRDefault="001358E6" w:rsidP="001358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Pr="002A409D">
        <w:rPr>
          <w:rFonts w:ascii="Times New Roman" w:hAnsi="Times New Roman"/>
          <w:sz w:val="28"/>
          <w:szCs w:val="28"/>
        </w:rPr>
        <w:t xml:space="preserve"> 202</w:t>
      </w:r>
      <w:r w:rsidR="00007A13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год.</w:t>
      </w:r>
    </w:p>
    <w:p w:rsidR="00992906" w:rsidRPr="002A409D" w:rsidRDefault="00992906" w:rsidP="001358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92906" w:rsidRDefault="000963D4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</w:t>
      </w:r>
      <w:r w:rsidR="00992906" w:rsidRPr="00992906">
        <w:rPr>
          <w:rFonts w:ascii="Times New Roman" w:hAnsi="Times New Roman"/>
          <w:b/>
          <w:sz w:val="28"/>
          <w:szCs w:val="28"/>
        </w:rPr>
        <w:t>Объект экспертно-аналитического мероприятия: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b/>
          <w:sz w:val="28"/>
          <w:szCs w:val="28"/>
        </w:rPr>
        <w:t xml:space="preserve"> </w:t>
      </w:r>
      <w:r w:rsidRPr="00992906">
        <w:rPr>
          <w:rFonts w:ascii="Times New Roman" w:hAnsi="Times New Roman"/>
          <w:sz w:val="28"/>
          <w:szCs w:val="28"/>
        </w:rPr>
        <w:t>Комитет Администрации Каменского района Алтайского края по финансам, налоговой и кредитной политике. ИНН/КПП 2207007084/220701001, ОГРН 1062207016508.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 xml:space="preserve">Юридический адрес: 658700, Алтайский край, Каменский район, г. Камень-на-Оби, ул. Ленина, д. 31.  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Должностные лица проверяемого объекта: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Председатель комитета – Мамонова Ирина Михайловна,</w:t>
      </w:r>
    </w:p>
    <w:p w:rsidR="00992906" w:rsidRPr="00992906" w:rsidRDefault="00992906" w:rsidP="00992906">
      <w:pPr>
        <w:spacing w:before="12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92906">
        <w:rPr>
          <w:rFonts w:ascii="Times New Roman" w:hAnsi="Times New Roman"/>
          <w:sz w:val="28"/>
          <w:szCs w:val="28"/>
        </w:rPr>
        <w:t>Главный бухгалтер – Попова Елена Александровна.</w:t>
      </w:r>
    </w:p>
    <w:p w:rsidR="00B14B4C" w:rsidRDefault="00992906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992906">
        <w:rPr>
          <w:rFonts w:ascii="Times New Roman" w:hAnsi="Times New Roman"/>
          <w:b/>
          <w:sz w:val="28"/>
          <w:szCs w:val="28"/>
        </w:rPr>
        <w:t>Проверяемый период деятельности: 202</w:t>
      </w:r>
      <w:r w:rsidR="00007A13">
        <w:rPr>
          <w:rFonts w:ascii="Times New Roman" w:hAnsi="Times New Roman"/>
          <w:b/>
          <w:sz w:val="28"/>
          <w:szCs w:val="28"/>
        </w:rPr>
        <w:t>4</w:t>
      </w:r>
      <w:r w:rsidRPr="00992906">
        <w:rPr>
          <w:rFonts w:ascii="Times New Roman" w:hAnsi="Times New Roman"/>
          <w:b/>
          <w:sz w:val="28"/>
          <w:szCs w:val="28"/>
        </w:rPr>
        <w:t xml:space="preserve"> год.</w:t>
      </w:r>
    </w:p>
    <w:p w:rsidR="000F1782" w:rsidRPr="000F1782" w:rsidRDefault="000F1782" w:rsidP="000F1782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F1782">
        <w:rPr>
          <w:rFonts w:ascii="Times New Roman" w:hAnsi="Times New Roman"/>
          <w:b/>
          <w:sz w:val="28"/>
          <w:szCs w:val="28"/>
        </w:rPr>
        <w:t xml:space="preserve">Метод проведения проверки: </w:t>
      </w:r>
      <w:r w:rsidRPr="000F1782">
        <w:rPr>
          <w:rFonts w:ascii="Times New Roman" w:hAnsi="Times New Roman"/>
          <w:sz w:val="28"/>
          <w:szCs w:val="28"/>
        </w:rPr>
        <w:t>камеральная проверка</w:t>
      </w:r>
      <w:r w:rsidRPr="000F1782">
        <w:rPr>
          <w:rFonts w:ascii="Times New Roman" w:hAnsi="Times New Roman"/>
          <w:b/>
          <w:sz w:val="28"/>
          <w:szCs w:val="28"/>
        </w:rPr>
        <w:t>.</w:t>
      </w:r>
    </w:p>
    <w:p w:rsidR="000F1782" w:rsidRPr="000F1782" w:rsidRDefault="000F1782" w:rsidP="000F1782">
      <w:pPr>
        <w:spacing w:before="120" w:line="240" w:lineRule="auto"/>
        <w:contextualSpacing/>
        <w:rPr>
          <w:rFonts w:ascii="Times New Roman" w:hAnsi="Times New Roman"/>
          <w:sz w:val="28"/>
          <w:szCs w:val="28"/>
        </w:rPr>
      </w:pPr>
      <w:r w:rsidRPr="000F1782">
        <w:rPr>
          <w:rFonts w:ascii="Times New Roman" w:hAnsi="Times New Roman"/>
          <w:sz w:val="28"/>
          <w:szCs w:val="28"/>
        </w:rPr>
        <w:t>Проверке были подвергнуты все представленные формы, показатели форм – выборочным порядком.</w:t>
      </w:r>
    </w:p>
    <w:p w:rsidR="000F1782" w:rsidRDefault="000F1782" w:rsidP="000F1782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0F1782">
        <w:rPr>
          <w:rFonts w:ascii="Times New Roman" w:hAnsi="Times New Roman"/>
          <w:b/>
          <w:sz w:val="28"/>
          <w:szCs w:val="28"/>
        </w:rPr>
        <w:t xml:space="preserve">Объем средств </w:t>
      </w:r>
      <w:r w:rsidR="00461B85">
        <w:rPr>
          <w:rFonts w:ascii="Times New Roman" w:hAnsi="Times New Roman"/>
          <w:b/>
          <w:sz w:val="28"/>
          <w:szCs w:val="28"/>
        </w:rPr>
        <w:t>городского</w:t>
      </w:r>
      <w:r w:rsidRPr="000F1782">
        <w:rPr>
          <w:rFonts w:ascii="Times New Roman" w:hAnsi="Times New Roman"/>
          <w:b/>
          <w:sz w:val="28"/>
          <w:szCs w:val="28"/>
        </w:rPr>
        <w:t xml:space="preserve"> бюджета, проверенных при проведении </w:t>
      </w:r>
      <w:r w:rsidR="00461B85">
        <w:rPr>
          <w:rFonts w:ascii="Times New Roman" w:hAnsi="Times New Roman"/>
          <w:b/>
          <w:sz w:val="28"/>
          <w:szCs w:val="28"/>
        </w:rPr>
        <w:t>внешней проверки</w:t>
      </w:r>
      <w:r w:rsidRPr="000F1782">
        <w:rPr>
          <w:rFonts w:ascii="Times New Roman" w:hAnsi="Times New Roman"/>
          <w:b/>
          <w:sz w:val="28"/>
          <w:szCs w:val="28"/>
        </w:rPr>
        <w:t xml:space="preserve">: </w:t>
      </w:r>
      <w:r w:rsidR="00007A13">
        <w:rPr>
          <w:rFonts w:ascii="Times New Roman" w:hAnsi="Times New Roman"/>
          <w:b/>
          <w:sz w:val="28"/>
          <w:szCs w:val="28"/>
        </w:rPr>
        <w:t>212460,7</w:t>
      </w:r>
      <w:r w:rsidRPr="000F1782">
        <w:rPr>
          <w:rFonts w:ascii="Times New Roman" w:hAnsi="Times New Roman"/>
          <w:b/>
          <w:sz w:val="28"/>
          <w:szCs w:val="28"/>
        </w:rPr>
        <w:t xml:space="preserve"> тыс. рублей.</w:t>
      </w:r>
    </w:p>
    <w:p w:rsidR="00992906" w:rsidRPr="002A409D" w:rsidRDefault="00992906" w:rsidP="00992906">
      <w:pPr>
        <w:spacing w:before="12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D71706" w:rsidRPr="002A409D" w:rsidRDefault="00D71706" w:rsidP="00992906">
      <w:pPr>
        <w:tabs>
          <w:tab w:val="left" w:pos="709"/>
          <w:tab w:val="left" w:pos="851"/>
        </w:tabs>
        <w:spacing w:before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Информация об объекте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992906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992906">
        <w:rPr>
          <w:rFonts w:ascii="Times New Roman" w:hAnsi="Times New Roman"/>
          <w:b/>
          <w:sz w:val="28"/>
          <w:szCs w:val="28"/>
        </w:rPr>
        <w:t>м</w:t>
      </w:r>
      <w:r w:rsidRPr="002A409D">
        <w:rPr>
          <w:rFonts w:ascii="Times New Roman" w:hAnsi="Times New Roman"/>
          <w:b/>
          <w:sz w:val="28"/>
          <w:szCs w:val="28"/>
        </w:rPr>
        <w:t>ероприятия</w:t>
      </w:r>
      <w:r w:rsidRPr="002A409D">
        <w:rPr>
          <w:rFonts w:ascii="Times New Roman" w:hAnsi="Times New Roman"/>
          <w:sz w:val="28"/>
          <w:szCs w:val="28"/>
        </w:rPr>
        <w:t>:</w:t>
      </w:r>
    </w:p>
    <w:p w:rsidR="00B14B4C" w:rsidRPr="002A409D" w:rsidRDefault="00B14B4C" w:rsidP="00FD2E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</w:p>
    <w:p w:rsidR="00CB4617" w:rsidRPr="00CB4617" w:rsidRDefault="00B14B4C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2A7410" w:rsidRPr="002A40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4617" w:rsidRPr="00CB4617">
        <w:rPr>
          <w:rFonts w:ascii="Times New Roman" w:hAnsi="Times New Roman"/>
          <w:sz w:val="28"/>
          <w:szCs w:val="28"/>
        </w:rPr>
        <w:t>Комитет Администрации Каменского района Алтайского края по финансам, налоговой и кредитной политике (далее - Комитет) в своей деятельности руководствуется Конституцией Российской Федерации; федеральными законами; нормативными актами Президента Российской Федерации и Правительства Российской Федерации; Уставом  Алтайского края; законами Алтайского края; Уставом Муниципального образования Каменский район; правовыми актами Каменского районного Собрания депутатов; постановлениями и распоряжениями Администрации района и Положением о Комитете.</w:t>
      </w:r>
      <w:proofErr w:type="gramEnd"/>
    </w:p>
    <w:p w:rsidR="00CB4617" w:rsidRPr="00CB4617" w:rsidRDefault="00CB4617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4617">
        <w:rPr>
          <w:rFonts w:ascii="Times New Roman" w:hAnsi="Times New Roman"/>
          <w:sz w:val="28"/>
          <w:szCs w:val="28"/>
        </w:rPr>
        <w:lastRenderedPageBreak/>
        <w:t xml:space="preserve">Комитет Администрации Каменского района Алтайского по финансам, налоговой и кредитной политике является исполнительным органом Администрации района.  </w:t>
      </w:r>
    </w:p>
    <w:p w:rsidR="00CB4617" w:rsidRPr="00CB4617" w:rsidRDefault="00AC62DB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Отчетность об исполнении бюджета муниципального образования город Камень – на Оби Каменского района Алтайского края составлена на основании бюджетной отчетности Каменского городского Совета депутатов</w:t>
      </w:r>
      <w:r w:rsidR="00CB4617" w:rsidRPr="00CB4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кодом </w:t>
      </w:r>
      <w:r w:rsidR="00CB4617" w:rsidRPr="00DD6E5C">
        <w:rPr>
          <w:rFonts w:ascii="Times New Roman" w:hAnsi="Times New Roman"/>
          <w:b/>
          <w:sz w:val="28"/>
          <w:szCs w:val="28"/>
        </w:rPr>
        <w:t>092</w:t>
      </w:r>
      <w:r w:rsidR="00CB4617" w:rsidRPr="00CB4617">
        <w:rPr>
          <w:rFonts w:ascii="Times New Roman" w:hAnsi="Times New Roman"/>
          <w:sz w:val="28"/>
          <w:szCs w:val="28"/>
        </w:rPr>
        <w:t>.</w:t>
      </w:r>
    </w:p>
    <w:p w:rsidR="005B0ECD" w:rsidRDefault="00DD6E5C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 и учет операций  по кассовым выплатам из бюджетов муниципальных образований Каменского района ведется </w:t>
      </w:r>
      <w:r w:rsidR="00CB4617" w:rsidRPr="00CB4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условиях открытия в Управлении Федерального казначейства по алтайскому краю лицевых счетов бюджетов финансовым органам муниципальных образований. </w:t>
      </w:r>
      <w:r w:rsidR="00CB4617" w:rsidRPr="00CB4617">
        <w:rPr>
          <w:rFonts w:ascii="Times New Roman" w:hAnsi="Times New Roman"/>
          <w:sz w:val="28"/>
          <w:szCs w:val="28"/>
        </w:rPr>
        <w:t>Учет операций со средствами бюджета осуществляется на едином казначейском счете 03100643000000011700, открытом Управлению Федерального казначейства по Алтайскому краю в подразделении Банка России на общем банковском счете 40102810045370000009. Банковских счетов в кредитных организациях учреждение не имеет.</w:t>
      </w:r>
    </w:p>
    <w:p w:rsidR="00113021" w:rsidRPr="002A409D" w:rsidRDefault="0003481F" w:rsidP="00CB4617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2A7410" w:rsidRPr="002A409D">
        <w:rPr>
          <w:rFonts w:ascii="Times New Roman" w:hAnsi="Times New Roman"/>
          <w:sz w:val="28"/>
          <w:szCs w:val="28"/>
        </w:rPr>
        <w:t xml:space="preserve"> </w:t>
      </w:r>
      <w:r w:rsidR="00113021" w:rsidRPr="002A409D">
        <w:rPr>
          <w:rFonts w:ascii="Times New Roman" w:hAnsi="Times New Roman"/>
          <w:sz w:val="28"/>
          <w:szCs w:val="28"/>
        </w:rPr>
        <w:t>Внешняя проверка годовой</w:t>
      </w:r>
      <w:r w:rsidR="00F427B4" w:rsidRPr="002A409D">
        <w:rPr>
          <w:rFonts w:ascii="Times New Roman" w:hAnsi="Times New Roman"/>
          <w:sz w:val="28"/>
          <w:szCs w:val="28"/>
        </w:rPr>
        <w:t xml:space="preserve"> бюджетной </w:t>
      </w:r>
      <w:r w:rsidR="00203E04" w:rsidRPr="002A409D">
        <w:rPr>
          <w:rFonts w:ascii="Times New Roman" w:hAnsi="Times New Roman"/>
          <w:sz w:val="28"/>
          <w:szCs w:val="28"/>
        </w:rPr>
        <w:t xml:space="preserve"> отчетности за 202</w:t>
      </w:r>
      <w:r w:rsidR="00461B85">
        <w:rPr>
          <w:rFonts w:ascii="Times New Roman" w:hAnsi="Times New Roman"/>
          <w:sz w:val="28"/>
          <w:szCs w:val="28"/>
        </w:rPr>
        <w:t>4</w:t>
      </w:r>
      <w:r w:rsidR="00113021" w:rsidRPr="002A409D">
        <w:rPr>
          <w:rFonts w:ascii="Times New Roman" w:hAnsi="Times New Roman"/>
          <w:sz w:val="28"/>
          <w:szCs w:val="28"/>
        </w:rPr>
        <w:t xml:space="preserve"> год проведена камеральным способом, на основании представленных Комитетом по финансам, налоговой и кредитной политике Администрации </w:t>
      </w:r>
      <w:r w:rsidR="004D32CC">
        <w:rPr>
          <w:rFonts w:ascii="Times New Roman" w:hAnsi="Times New Roman"/>
          <w:sz w:val="28"/>
          <w:szCs w:val="28"/>
        </w:rPr>
        <w:t>Каменского</w:t>
      </w:r>
      <w:r w:rsidR="00113021" w:rsidRPr="002A409D">
        <w:rPr>
          <w:rFonts w:ascii="Times New Roman" w:hAnsi="Times New Roman"/>
          <w:sz w:val="28"/>
          <w:szCs w:val="28"/>
        </w:rPr>
        <w:t xml:space="preserve"> района Алтайского края документов. Проверке были подвергнуты все представленные формы, показатели форм – выборочным порядком.</w:t>
      </w:r>
    </w:p>
    <w:p w:rsidR="00461B85" w:rsidRDefault="00461B85" w:rsidP="00461B8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1B85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461B85" w:rsidRDefault="00461B85" w:rsidP="00461B8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C4A56" w:rsidRPr="002A409D" w:rsidRDefault="00EC4A56" w:rsidP="00461B8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1. Анализ составления и представления о</w:t>
      </w:r>
      <w:r w:rsidR="001358E6">
        <w:rPr>
          <w:rFonts w:ascii="Times New Roman" w:hAnsi="Times New Roman"/>
          <w:b/>
          <w:sz w:val="28"/>
          <w:szCs w:val="28"/>
        </w:rPr>
        <w:t>тчетности по составу,</w:t>
      </w:r>
      <w:r w:rsidR="001358E6">
        <w:rPr>
          <w:rFonts w:ascii="Times New Roman" w:hAnsi="Times New Roman"/>
          <w:b/>
          <w:sz w:val="28"/>
          <w:szCs w:val="28"/>
        </w:rPr>
        <w:cr/>
        <w:t xml:space="preserve">    </w:t>
      </w:r>
      <w:r w:rsidRPr="002A409D">
        <w:rPr>
          <w:rFonts w:ascii="Times New Roman" w:hAnsi="Times New Roman"/>
          <w:b/>
          <w:sz w:val="28"/>
          <w:szCs w:val="28"/>
        </w:rPr>
        <w:t xml:space="preserve">содержанию, прозрачности и информативности показателей  </w:t>
      </w:r>
      <w:r w:rsidRPr="002A409D">
        <w:rPr>
          <w:rFonts w:ascii="Times New Roman" w:hAnsi="Times New Roman"/>
          <w:b/>
          <w:sz w:val="28"/>
          <w:szCs w:val="28"/>
        </w:rPr>
        <w:cr/>
      </w:r>
    </w:p>
    <w:p w:rsidR="005A674C" w:rsidRDefault="00EC4A56" w:rsidP="009E059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A409D">
        <w:rPr>
          <w:rFonts w:ascii="Times New Roman" w:hAnsi="Times New Roman"/>
          <w:b w:val="0"/>
          <w:color w:val="auto"/>
          <w:sz w:val="28"/>
          <w:szCs w:val="28"/>
        </w:rPr>
        <w:t xml:space="preserve">Комитетом по финансам, налоговой и кредитной политике Администрации </w:t>
      </w:r>
      <w:r w:rsidR="004D32CC">
        <w:rPr>
          <w:rFonts w:ascii="Times New Roman" w:hAnsi="Times New Roman"/>
          <w:b w:val="0"/>
          <w:color w:val="auto"/>
          <w:sz w:val="28"/>
          <w:szCs w:val="28"/>
        </w:rPr>
        <w:t>Каменского</w:t>
      </w:r>
      <w:r w:rsidRPr="002A409D">
        <w:rPr>
          <w:rFonts w:ascii="Times New Roman" w:hAnsi="Times New Roman"/>
          <w:b w:val="0"/>
          <w:color w:val="auto"/>
          <w:sz w:val="28"/>
          <w:szCs w:val="28"/>
        </w:rPr>
        <w:t xml:space="preserve"> района Алтайского края</w:t>
      </w:r>
      <w:r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A674C"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обеспечено в полном объёме исполнение требований ст. 264.2 и ст. 264.3 Бюджетного кодекса Российской Федерации</w:t>
      </w:r>
      <w:r w:rsidR="005A674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5A674C" w:rsidRPr="005A674C" w:rsidRDefault="005A674C" w:rsidP="005A674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роект решения  Каменского городского Совета депутатов Каменского района Алтайского края «Об  утверждении  отчета об исполнении бюджета муниципального образования город Камень-на-Оби Каменского района Алтайского края за 2024 год»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23949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E7BF3" w:rsidRPr="002A409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передан в контрольно-счетную палату для внешней проверки. Вместе с проектом решения представлены следующие документы: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Отчет об исполнении бюджета (форма 0503117)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Баланс об исполнении бюджета (форма 0503120)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3.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Отчет о финансовых результатах деятельности (форма 0503121)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4.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Отчет о движении денежных средств (форма 0503123)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5.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Справка по заключению сетов бюджетного учета отчетного финансового года (форма 0503110)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6.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Отчет о кассовом поступлении  и выбытии бюджетных средств (форма 0503124)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7.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Справка по консолидируемым расчетам (форма 0503125)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8.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Баланс по поступлениям и выбытиям (форма 05031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0)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9.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10.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Отчет о бюджетных обязательствах (форма 0503128) отчетом не  предусмотрено 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11.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Отчет об использовании межбюджетных трансфертов  из бюджета субъектов РФ 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12.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Оборотно</w:t>
      </w:r>
      <w:r w:rsidR="006373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-</w:t>
      </w:r>
      <w:r w:rsidR="006373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сальдовая ведомость за 2024 год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13.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Главная книга за 2024 год (в электронном виде)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14.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Сводная бюджетная роспись по состоянию на 1 января и 31 декабря  отчетного финансового года</w:t>
      </w:r>
    </w:p>
    <w:p w:rsidR="005A674C" w:rsidRPr="005A674C" w:rsidRDefault="005A674C" w:rsidP="006373AC">
      <w:pPr>
        <w:pStyle w:val="1"/>
        <w:spacing w:after="0"/>
        <w:ind w:firstLine="28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15.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Решение о бюджет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городского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 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2024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 и </w:t>
      </w:r>
      <w:r w:rsidR="006373AC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 о внесении изменений в бюджет городского поселения за 2024 год;</w:t>
      </w:r>
    </w:p>
    <w:p w:rsidR="005A674C" w:rsidRDefault="005A674C" w:rsidP="006373AC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sz w:val="28"/>
          <w:szCs w:val="28"/>
        </w:rPr>
      </w:pP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>16.</w:t>
      </w:r>
      <w:r w:rsidRPr="005A674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Проект решения об исполнении бюджета за 2024 год с приложениями</w:t>
      </w:r>
      <w:r w:rsidR="00A319FA" w:rsidRPr="002A409D">
        <w:rPr>
          <w:rFonts w:ascii="Times New Roman" w:hAnsi="Times New Roman"/>
          <w:sz w:val="28"/>
          <w:szCs w:val="28"/>
        </w:rPr>
        <w:cr/>
      </w:r>
      <w:r w:rsidR="006373AC">
        <w:rPr>
          <w:rFonts w:ascii="Times New Roman" w:hAnsi="Times New Roman"/>
          <w:sz w:val="28"/>
          <w:szCs w:val="28"/>
        </w:rPr>
        <w:t xml:space="preserve">    </w:t>
      </w:r>
      <w:r w:rsidRPr="005A674C">
        <w:rPr>
          <w:rFonts w:ascii="Times New Roman" w:hAnsi="Times New Roman"/>
          <w:b w:val="0"/>
          <w:sz w:val="28"/>
          <w:szCs w:val="28"/>
        </w:rPr>
        <w:t>17. Баланс (форма 0503130)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6373AC" w:rsidRDefault="006373AC" w:rsidP="006373AC">
      <w:pPr>
        <w:ind w:firstLine="284"/>
        <w:rPr>
          <w:rFonts w:ascii="Times New Roman" w:hAnsi="Times New Roman"/>
          <w:sz w:val="28"/>
          <w:szCs w:val="28"/>
        </w:rPr>
      </w:pPr>
      <w:r w:rsidRPr="006373AC">
        <w:rPr>
          <w:rFonts w:ascii="Times New Roman" w:hAnsi="Times New Roman"/>
          <w:sz w:val="28"/>
          <w:szCs w:val="28"/>
        </w:rPr>
        <w:t xml:space="preserve">18. </w:t>
      </w:r>
      <w:r>
        <w:rPr>
          <w:rFonts w:ascii="Times New Roman" w:hAnsi="Times New Roman"/>
          <w:sz w:val="28"/>
          <w:szCs w:val="28"/>
        </w:rPr>
        <w:t>О</w:t>
      </w:r>
      <w:r w:rsidRPr="006373AC">
        <w:rPr>
          <w:rFonts w:ascii="Times New Roman" w:hAnsi="Times New Roman"/>
          <w:sz w:val="28"/>
          <w:szCs w:val="28"/>
        </w:rPr>
        <w:t>тчет об осуществлении расходов дорожного фонда;</w:t>
      </w:r>
    </w:p>
    <w:p w:rsidR="00F64366" w:rsidRPr="002A409D" w:rsidRDefault="004D164F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F64366" w:rsidRPr="002A409D">
        <w:rPr>
          <w:rFonts w:ascii="Times New Roman" w:hAnsi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0378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F64366" w:rsidRPr="002A409D">
        <w:rPr>
          <w:rFonts w:ascii="Times New Roman" w:hAnsi="Times New Roman"/>
          <w:sz w:val="28"/>
          <w:szCs w:val="28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FD2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B661A5" w:rsidRPr="002A409D">
        <w:rPr>
          <w:rFonts w:ascii="Times New Roman" w:hAnsi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03785A" w:rsidRPr="002A409D" w:rsidRDefault="0003785A" w:rsidP="000378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>заполнение формы (</w:t>
      </w:r>
      <w:hyperlink r:id="rId10" w:anchor="l6891" w:tgtFrame="_blank" w:history="1">
        <w:r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2A409D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64366" w:rsidRPr="002A409D" w:rsidRDefault="002F6DAE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64366" w:rsidRPr="002A409D">
        <w:rPr>
          <w:rFonts w:ascii="Times New Roman" w:hAnsi="Times New Roman"/>
          <w:sz w:val="28"/>
          <w:szCs w:val="28"/>
        </w:rPr>
        <w:t>- заполнение формы (ф. 05031</w:t>
      </w:r>
      <w:r w:rsidR="00E9107B">
        <w:rPr>
          <w:rFonts w:ascii="Times New Roman" w:hAnsi="Times New Roman"/>
          <w:sz w:val="28"/>
          <w:szCs w:val="28"/>
        </w:rPr>
        <w:t>1</w:t>
      </w:r>
      <w:r w:rsidR="00F64366" w:rsidRPr="002A409D">
        <w:rPr>
          <w:rFonts w:ascii="Times New Roman" w:hAnsi="Times New Roman"/>
          <w:sz w:val="28"/>
          <w:szCs w:val="28"/>
        </w:rPr>
        <w:t>7) «</w:t>
      </w:r>
      <w:r w:rsidR="00593CAD" w:rsidRPr="002A409D">
        <w:rPr>
          <w:rFonts w:ascii="Times New Roman" w:hAnsi="Times New Roman"/>
          <w:sz w:val="28"/>
          <w:szCs w:val="28"/>
        </w:rPr>
        <w:t>О</w:t>
      </w:r>
      <w:r w:rsidR="00402659" w:rsidRPr="002A409D">
        <w:rPr>
          <w:rFonts w:ascii="Times New Roman" w:hAnsi="Times New Roman"/>
          <w:sz w:val="28"/>
          <w:szCs w:val="28"/>
        </w:rPr>
        <w:t>тче</w:t>
      </w:r>
      <w:r w:rsidR="00593CAD" w:rsidRPr="002A409D">
        <w:rPr>
          <w:rFonts w:ascii="Times New Roman" w:hAnsi="Times New Roman"/>
          <w:sz w:val="28"/>
          <w:szCs w:val="28"/>
        </w:rPr>
        <w:t>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</w:t>
      </w:r>
      <w:r w:rsidR="00F64366" w:rsidRPr="002A409D">
        <w:rPr>
          <w:rFonts w:ascii="Times New Roman" w:hAnsi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F64366" w:rsidRPr="002A409D" w:rsidRDefault="002F6DAE" w:rsidP="006C59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6E7BF3" w:rsidRPr="002A409D">
        <w:rPr>
          <w:rFonts w:ascii="Times New Roman" w:hAnsi="Times New Roman"/>
          <w:sz w:val="28"/>
          <w:szCs w:val="28"/>
        </w:rPr>
        <w:t xml:space="preserve">    </w:t>
      </w:r>
      <w:r w:rsidR="00F64366" w:rsidRPr="002A409D">
        <w:rPr>
          <w:rFonts w:ascii="Times New Roman" w:hAnsi="Times New Roman"/>
          <w:sz w:val="28"/>
          <w:szCs w:val="28"/>
        </w:rPr>
        <w:t>-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64366" w:rsidRPr="002A409D">
        <w:rPr>
          <w:rFonts w:ascii="Times New Roman" w:hAnsi="Times New Roman"/>
          <w:sz w:val="28"/>
          <w:szCs w:val="28"/>
        </w:rPr>
        <w:t>заполнение формы (ф. 05031</w:t>
      </w:r>
      <w:r w:rsidR="00E9107B">
        <w:rPr>
          <w:rFonts w:ascii="Times New Roman" w:hAnsi="Times New Roman"/>
          <w:sz w:val="28"/>
          <w:szCs w:val="28"/>
        </w:rPr>
        <w:t>2</w:t>
      </w:r>
      <w:r w:rsidR="00F64366" w:rsidRPr="002A409D">
        <w:rPr>
          <w:rFonts w:ascii="Times New Roman" w:hAnsi="Times New Roman"/>
          <w:sz w:val="28"/>
          <w:szCs w:val="28"/>
        </w:rPr>
        <w:t xml:space="preserve">0) «Баланс </w:t>
      </w:r>
      <w:r w:rsidR="00E9107B">
        <w:rPr>
          <w:rFonts w:ascii="Times New Roman" w:hAnsi="Times New Roman"/>
          <w:sz w:val="28"/>
          <w:szCs w:val="28"/>
        </w:rPr>
        <w:t>исполнения</w:t>
      </w:r>
      <w:r w:rsidR="00F64366" w:rsidRPr="002A409D">
        <w:rPr>
          <w:rFonts w:ascii="Times New Roman" w:hAnsi="Times New Roman"/>
          <w:sz w:val="28"/>
          <w:szCs w:val="28"/>
        </w:rPr>
        <w:t xml:space="preserve">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64366" w:rsidRPr="006373AC" w:rsidRDefault="002F6DAE" w:rsidP="00FD2E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F64366" w:rsidRPr="006373AC">
        <w:rPr>
          <w:rFonts w:ascii="Times New Roman" w:hAnsi="Times New Roman"/>
          <w:sz w:val="28"/>
          <w:szCs w:val="28"/>
        </w:rPr>
        <w:t xml:space="preserve">- 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F64366" w:rsidRPr="002A409D" w:rsidRDefault="00F64366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66" w:rsidRPr="002A409D" w:rsidRDefault="00133E4D" w:rsidP="00FD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2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. </w:t>
      </w:r>
      <w:r w:rsidR="00523AD5" w:rsidRPr="002A409D">
        <w:rPr>
          <w:rFonts w:ascii="Times New Roman" w:hAnsi="Times New Roman"/>
          <w:b/>
          <w:sz w:val="28"/>
          <w:szCs w:val="28"/>
        </w:rPr>
        <w:t>Проверка  достоверности показателей бюджетной отчетности Г</w:t>
      </w:r>
      <w:r w:rsidR="000031D8" w:rsidRPr="002A409D">
        <w:rPr>
          <w:rFonts w:ascii="Times New Roman" w:hAnsi="Times New Roman"/>
          <w:b/>
          <w:sz w:val="28"/>
          <w:szCs w:val="28"/>
        </w:rPr>
        <w:t>Р</w:t>
      </w:r>
      <w:r w:rsidR="00523AD5" w:rsidRPr="002A409D">
        <w:rPr>
          <w:rFonts w:ascii="Times New Roman" w:hAnsi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F64366" w:rsidRPr="002A409D" w:rsidRDefault="00F64366" w:rsidP="00FD2E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1" w:anchor="l5180" w:tgtFrame="_blank" w:history="1">
        <w:r w:rsidRPr="002A409D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2A409D">
        <w:rPr>
          <w:rFonts w:ascii="Times New Roman" w:hAnsi="Times New Roman"/>
          <w:b/>
          <w:sz w:val="28"/>
          <w:szCs w:val="28"/>
        </w:rPr>
        <w:t>).</w:t>
      </w:r>
      <w:r w:rsidRPr="002A409D">
        <w:rPr>
          <w:rFonts w:ascii="Times New Roman" w:hAnsi="Times New Roman"/>
          <w:b/>
          <w:sz w:val="24"/>
          <w:szCs w:val="24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3E137A">
        <w:rPr>
          <w:rFonts w:ascii="Times New Roman" w:hAnsi="Times New Roman"/>
          <w:sz w:val="28"/>
          <w:szCs w:val="28"/>
        </w:rPr>
        <w:t>5</w:t>
      </w:r>
      <w:r w:rsidRPr="002A409D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 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lastRenderedPageBreak/>
        <w:t>Отчет о финансовых результатах (ф. 0503121).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3033D8" w:rsidRPr="002A409D" w:rsidRDefault="003033D8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3033D8" w:rsidRPr="002A409D" w:rsidRDefault="003033D8" w:rsidP="00FD2EE1">
      <w:pPr>
        <w:tabs>
          <w:tab w:val="left" w:pos="567"/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В Отчете о финансовых результатах деятельности (ф.0503121) отражены данные о финансовых результатах деятельности по состоянию на 01.01.20</w:t>
      </w:r>
      <w:r w:rsidR="00A41BD5" w:rsidRPr="002A409D">
        <w:rPr>
          <w:rFonts w:ascii="Times New Roman" w:hAnsi="Times New Roman"/>
          <w:sz w:val="28"/>
          <w:szCs w:val="28"/>
        </w:rPr>
        <w:t>2</w:t>
      </w:r>
      <w:r w:rsidR="006373AC">
        <w:rPr>
          <w:rFonts w:ascii="Times New Roman" w:hAnsi="Times New Roman"/>
          <w:sz w:val="28"/>
          <w:szCs w:val="28"/>
        </w:rPr>
        <w:t>5</w:t>
      </w:r>
      <w:r w:rsidRPr="002A409D">
        <w:rPr>
          <w:rFonts w:ascii="Times New Roman" w:hAnsi="Times New Roman"/>
          <w:sz w:val="28"/>
          <w:szCs w:val="28"/>
        </w:rPr>
        <w:t xml:space="preserve"> г</w:t>
      </w:r>
      <w:r w:rsidR="004D164F" w:rsidRPr="002A409D">
        <w:rPr>
          <w:rFonts w:ascii="Times New Roman" w:hAnsi="Times New Roman"/>
          <w:sz w:val="28"/>
          <w:szCs w:val="28"/>
        </w:rPr>
        <w:t>ода</w:t>
      </w:r>
      <w:r w:rsidRPr="002A409D">
        <w:rPr>
          <w:rFonts w:ascii="Times New Roman" w:hAnsi="Times New Roman"/>
          <w:sz w:val="28"/>
          <w:szCs w:val="28"/>
        </w:rPr>
        <w:t xml:space="preserve"> в разрезе доходов в общей сумме </w:t>
      </w:r>
      <w:r w:rsidR="003E137A">
        <w:rPr>
          <w:rFonts w:ascii="Times New Roman" w:hAnsi="Times New Roman"/>
          <w:b/>
          <w:sz w:val="28"/>
          <w:szCs w:val="28"/>
        </w:rPr>
        <w:t>337126,1</w:t>
      </w:r>
      <w:r w:rsidR="00DF3721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рублей, расходов в общей сумме </w:t>
      </w:r>
      <w:r w:rsidR="00F41045">
        <w:rPr>
          <w:rFonts w:ascii="Times New Roman" w:hAnsi="Times New Roman"/>
          <w:b/>
          <w:sz w:val="28"/>
          <w:szCs w:val="28"/>
        </w:rPr>
        <w:t>316668,3</w:t>
      </w:r>
      <w:r w:rsidR="00DA6C27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рублей</w:t>
      </w:r>
      <w:r w:rsidRPr="002A409D">
        <w:rPr>
          <w:rFonts w:ascii="Times New Roman" w:hAnsi="Times New Roman"/>
          <w:sz w:val="28"/>
          <w:szCs w:val="28"/>
        </w:rPr>
        <w:t xml:space="preserve">. Чистый </w:t>
      </w:r>
      <w:r w:rsidR="00F6204B" w:rsidRPr="002A409D">
        <w:rPr>
          <w:rFonts w:ascii="Times New Roman" w:hAnsi="Times New Roman"/>
          <w:sz w:val="28"/>
          <w:szCs w:val="28"/>
        </w:rPr>
        <w:t>операционный результат за 202</w:t>
      </w:r>
      <w:r w:rsidR="00F41045">
        <w:rPr>
          <w:rFonts w:ascii="Times New Roman" w:hAnsi="Times New Roman"/>
          <w:sz w:val="28"/>
          <w:szCs w:val="28"/>
        </w:rPr>
        <w:t>4</w:t>
      </w:r>
      <w:r w:rsidR="00F6204B" w:rsidRPr="002A409D">
        <w:rPr>
          <w:rFonts w:ascii="Times New Roman" w:hAnsi="Times New Roman"/>
          <w:sz w:val="28"/>
          <w:szCs w:val="28"/>
        </w:rPr>
        <w:t xml:space="preserve"> год составил </w:t>
      </w:r>
      <w:r w:rsidR="00F41045">
        <w:rPr>
          <w:rFonts w:ascii="Times New Roman" w:hAnsi="Times New Roman"/>
          <w:b/>
          <w:sz w:val="28"/>
          <w:szCs w:val="28"/>
        </w:rPr>
        <w:t>20457,8</w:t>
      </w:r>
      <w:r w:rsidR="00F41045">
        <w:rPr>
          <w:rFonts w:ascii="Times New Roman" w:hAnsi="Times New Roman"/>
          <w:sz w:val="28"/>
          <w:szCs w:val="28"/>
        </w:rPr>
        <w:t xml:space="preserve"> тыс. рублей</w:t>
      </w:r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со знаком «</w:t>
      </w:r>
      <w:r w:rsidR="00B24421" w:rsidRPr="002A409D">
        <w:rPr>
          <w:rFonts w:ascii="Times New Roman" w:hAnsi="Times New Roman"/>
          <w:sz w:val="28"/>
          <w:szCs w:val="28"/>
        </w:rPr>
        <w:t>плюс</w:t>
      </w:r>
      <w:r w:rsidRPr="002A409D">
        <w:rPr>
          <w:rFonts w:ascii="Times New Roman" w:hAnsi="Times New Roman"/>
          <w:sz w:val="28"/>
          <w:szCs w:val="28"/>
        </w:rPr>
        <w:t xml:space="preserve">».  </w:t>
      </w:r>
      <w:r w:rsidRPr="002A409D">
        <w:rPr>
          <w:rFonts w:ascii="Times New Roman" w:hAnsi="Times New Roman"/>
          <w:sz w:val="28"/>
          <w:szCs w:val="28"/>
        </w:rPr>
        <w:cr/>
        <w:t xml:space="preserve">     </w:t>
      </w:r>
      <w:r w:rsidRPr="002A409D">
        <w:rPr>
          <w:rFonts w:ascii="Times New Roman" w:hAnsi="Times New Roman"/>
          <w:sz w:val="28"/>
          <w:szCs w:val="28"/>
        </w:rPr>
        <w:cr/>
      </w:r>
      <w:r w:rsidRPr="002A409D">
        <w:rPr>
          <w:rFonts w:ascii="Times New Roman" w:hAnsi="Times New Roman"/>
          <w:sz w:val="24"/>
          <w:szCs w:val="24"/>
        </w:rPr>
        <w:t xml:space="preserve">Таблица № 1, </w:t>
      </w:r>
      <w:r w:rsidR="001574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63"/>
        <w:gridCol w:w="4917"/>
        <w:gridCol w:w="3150"/>
      </w:tblGrid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40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40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50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3150" w:type="dxa"/>
          </w:tcPr>
          <w:p w:rsidR="003033D8" w:rsidRPr="002A409D" w:rsidRDefault="00606685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85">
              <w:rPr>
                <w:rFonts w:ascii="Times New Roman" w:hAnsi="Times New Roman"/>
                <w:sz w:val="24"/>
                <w:szCs w:val="24"/>
              </w:rPr>
              <w:t>337126,1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150" w:type="dxa"/>
          </w:tcPr>
          <w:p w:rsidR="003033D8" w:rsidRPr="002A409D" w:rsidRDefault="00606685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85">
              <w:rPr>
                <w:rFonts w:ascii="Times New Roman" w:hAnsi="Times New Roman"/>
                <w:sz w:val="24"/>
                <w:szCs w:val="24"/>
              </w:rPr>
              <w:t>316668,3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50" w:type="dxa"/>
          </w:tcPr>
          <w:p w:rsidR="003033D8" w:rsidRPr="002A409D" w:rsidRDefault="00606685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685">
              <w:rPr>
                <w:rFonts w:ascii="Times New Roman" w:hAnsi="Times New Roman"/>
                <w:sz w:val="24"/>
                <w:szCs w:val="24"/>
              </w:rPr>
              <w:t>20457,8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50" w:type="dxa"/>
          </w:tcPr>
          <w:p w:rsidR="003033D8" w:rsidRPr="002A409D" w:rsidRDefault="00606685" w:rsidP="00606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13158,4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Операции с финансовыми активами</w:t>
            </w:r>
            <w:r w:rsidR="009F1C91" w:rsidRPr="002A409D">
              <w:rPr>
                <w:rFonts w:ascii="Times New Roman" w:hAnsi="Times New Roman"/>
                <w:sz w:val="24"/>
                <w:szCs w:val="24"/>
              </w:rPr>
              <w:t xml:space="preserve"> и обязательствами </w:t>
            </w:r>
          </w:p>
        </w:tc>
        <w:tc>
          <w:tcPr>
            <w:tcW w:w="3150" w:type="dxa"/>
          </w:tcPr>
          <w:p w:rsidR="003033D8" w:rsidRPr="002A409D" w:rsidRDefault="00606685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7299,4</w:t>
            </w:r>
          </w:p>
        </w:tc>
      </w:tr>
    </w:tbl>
    <w:p w:rsidR="003033D8" w:rsidRPr="002A409D" w:rsidRDefault="003033D8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</w:t>
      </w:r>
    </w:p>
    <w:p w:rsidR="003033D8" w:rsidRPr="002A409D" w:rsidRDefault="003033D8" w:rsidP="00DF37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          </w:t>
      </w:r>
      <w:r w:rsidR="00177563" w:rsidRPr="002A409D">
        <w:rPr>
          <w:rFonts w:ascii="Times New Roman" w:hAnsi="Times New Roman"/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2" w:anchor="l5180" w:tgtFrame="_blank" w:history="1">
        <w:r w:rsidR="00177563"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0503110</w:t>
        </w:r>
      </w:hyperlink>
      <w:r w:rsidR="00177563" w:rsidRPr="002A409D">
        <w:rPr>
          <w:rFonts w:ascii="Times New Roman" w:hAnsi="Times New Roman"/>
          <w:sz w:val="28"/>
          <w:szCs w:val="28"/>
        </w:rPr>
        <w:t xml:space="preserve">) отклонений не имеют. </w:t>
      </w:r>
    </w:p>
    <w:p w:rsidR="00F15ABB" w:rsidRPr="002A409D" w:rsidRDefault="00F64366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Отчет о движении денежных средств (ф. 0503123).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</w:t>
      </w:r>
      <w:r w:rsidR="00F15ABB" w:rsidRPr="002A409D">
        <w:rPr>
          <w:rFonts w:ascii="Times New Roman" w:hAnsi="Times New Roman"/>
          <w:sz w:val="28"/>
          <w:szCs w:val="28"/>
        </w:rPr>
        <w:t>движении денежных средств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F15ABB"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F15ABB"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F15ABB" w:rsidRPr="002A409D" w:rsidRDefault="00F15ABB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</w:t>
      </w:r>
      <w:r w:rsidR="00CE7806" w:rsidRPr="002A409D">
        <w:rPr>
          <w:rFonts w:ascii="Times New Roman" w:hAnsi="Times New Roman"/>
          <w:sz w:val="28"/>
          <w:szCs w:val="28"/>
          <w:lang w:eastAsia="ru-RU"/>
        </w:rPr>
        <w:t>ошлого финансового года (графа 5</w:t>
      </w:r>
      <w:r w:rsidRPr="002A409D">
        <w:rPr>
          <w:rFonts w:ascii="Times New Roman" w:hAnsi="Times New Roman"/>
          <w:sz w:val="28"/>
          <w:szCs w:val="28"/>
          <w:lang w:eastAsia="ru-RU"/>
        </w:rPr>
        <w:t>).</w:t>
      </w:r>
    </w:p>
    <w:p w:rsidR="00E65068" w:rsidRPr="002A409D" w:rsidRDefault="00E6506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</w:p>
    <w:p w:rsidR="00606685" w:rsidRDefault="00B807B4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    </w:t>
      </w:r>
      <w:r w:rsidR="006E7BF3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15ABB" w:rsidRPr="002A409D">
        <w:rPr>
          <w:rFonts w:ascii="Times New Roman" w:hAnsi="Times New Roman"/>
          <w:b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</w:t>
      </w:r>
      <w:r w:rsidR="008052F5">
        <w:rPr>
          <w:rFonts w:ascii="Times New Roman" w:hAnsi="Times New Roman"/>
          <w:b/>
          <w:sz w:val="28"/>
          <w:szCs w:val="28"/>
        </w:rPr>
        <w:t>1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7). </w:t>
      </w:r>
    </w:p>
    <w:p w:rsidR="00464237" w:rsidRDefault="00464237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ABB" w:rsidRPr="002A409D" w:rsidRDefault="00F15ABB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Отчет об исполнении бюджета содержит данные об исполнении бюджета  по доходам, расходам и источникам финансирования дефицита бюджета на 1 января года,</w:t>
      </w:r>
      <w:r w:rsidRPr="002A409D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и </w:t>
      </w:r>
      <w:r w:rsidRPr="002A409D">
        <w:rPr>
          <w:rFonts w:ascii="Times New Roman" w:hAnsi="Times New Roman"/>
          <w:sz w:val="28"/>
          <w:szCs w:val="28"/>
        </w:rPr>
        <w:t xml:space="preserve">характеризует деятельность органа. </w:t>
      </w:r>
    </w:p>
    <w:p w:rsidR="00F94B4F" w:rsidRDefault="00F94B4F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Исполнение доходов </w:t>
      </w:r>
      <w:r w:rsidR="000D79C6" w:rsidRPr="002A409D">
        <w:rPr>
          <w:rFonts w:ascii="Times New Roman" w:hAnsi="Times New Roman"/>
          <w:sz w:val="28"/>
          <w:szCs w:val="28"/>
        </w:rPr>
        <w:t>составило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64237">
        <w:rPr>
          <w:rFonts w:ascii="Times New Roman" w:hAnsi="Times New Roman"/>
          <w:sz w:val="28"/>
          <w:szCs w:val="28"/>
        </w:rPr>
        <w:t>235703,2 тыс.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рублей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утвержденных бюджетных назначениях </w:t>
      </w:r>
      <w:r w:rsidR="00464237">
        <w:rPr>
          <w:rFonts w:ascii="Times New Roman" w:hAnsi="Times New Roman"/>
          <w:sz w:val="28"/>
          <w:szCs w:val="28"/>
        </w:rPr>
        <w:t>243672,5 тыс.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="009718D7" w:rsidRPr="002A409D">
        <w:rPr>
          <w:rFonts w:ascii="Times New Roman" w:hAnsi="Times New Roman"/>
          <w:sz w:val="28"/>
          <w:szCs w:val="28"/>
        </w:rPr>
        <w:t>рубл</w:t>
      </w:r>
      <w:r w:rsidR="00464237">
        <w:rPr>
          <w:rFonts w:ascii="Times New Roman" w:hAnsi="Times New Roman"/>
          <w:sz w:val="28"/>
          <w:szCs w:val="28"/>
        </w:rPr>
        <w:t>ей</w:t>
      </w:r>
      <w:r w:rsidRPr="002A409D">
        <w:rPr>
          <w:rFonts w:ascii="Times New Roman" w:hAnsi="Times New Roman"/>
          <w:sz w:val="28"/>
          <w:szCs w:val="28"/>
        </w:rPr>
        <w:t>.</w:t>
      </w:r>
    </w:p>
    <w:p w:rsidR="002C40FC" w:rsidRPr="002A409D" w:rsidRDefault="002C40FC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0FC">
        <w:rPr>
          <w:rFonts w:ascii="Times New Roman" w:hAnsi="Times New Roman"/>
          <w:sz w:val="28"/>
          <w:szCs w:val="28"/>
        </w:rPr>
        <w:t xml:space="preserve">           Изменения основных параметров бюджета поселения за 2024 год представлены в таблице № </w:t>
      </w:r>
      <w:r>
        <w:rPr>
          <w:rFonts w:ascii="Times New Roman" w:hAnsi="Times New Roman"/>
          <w:sz w:val="28"/>
          <w:szCs w:val="28"/>
        </w:rPr>
        <w:t>2</w:t>
      </w:r>
      <w:r w:rsidRPr="002C40FC">
        <w:rPr>
          <w:rFonts w:ascii="Times New Roman" w:hAnsi="Times New Roman"/>
          <w:sz w:val="28"/>
          <w:szCs w:val="28"/>
        </w:rPr>
        <w:t>.</w:t>
      </w:r>
    </w:p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0F" w:rsidRPr="00464237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64237" w:rsidRPr="00464237">
        <w:rPr>
          <w:rFonts w:ascii="Times New Roman" w:hAnsi="Times New Roman"/>
          <w:sz w:val="20"/>
          <w:szCs w:val="20"/>
        </w:rPr>
        <w:t xml:space="preserve">Таблица № 2                                                                                                            </w:t>
      </w:r>
      <w:r w:rsidR="00464237">
        <w:rPr>
          <w:rFonts w:ascii="Times New Roman" w:hAnsi="Times New Roman"/>
          <w:sz w:val="20"/>
          <w:szCs w:val="20"/>
        </w:rPr>
        <w:t xml:space="preserve">                            </w:t>
      </w:r>
      <w:r w:rsidR="00464237" w:rsidRPr="00464237">
        <w:rPr>
          <w:rFonts w:ascii="Times New Roman" w:hAnsi="Times New Roman"/>
          <w:sz w:val="20"/>
          <w:szCs w:val="20"/>
        </w:rPr>
        <w:t xml:space="preserve">  тыс. </w:t>
      </w:r>
      <w:r w:rsidRPr="00464237">
        <w:rPr>
          <w:rFonts w:ascii="Times New Roman" w:hAnsi="Times New Roman"/>
          <w:sz w:val="20"/>
          <w:szCs w:val="20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243</w:t>
            </w:r>
            <w:r w:rsidR="004B1D45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72,5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235703,2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4B1D45" w:rsidP="0044379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-7969,3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4B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96,7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245081,6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212460,7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2A409D" w:rsidRDefault="004B1D4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-32620,9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4B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86,7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</w:t>
            </w:r>
            <w:proofErr w:type="gramStart"/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-) Профицит(+)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-10220,9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D02550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+23242,5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4B1D4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4B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2.Анализ исполнения доходной части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</w:t>
      </w:r>
      <w:r w:rsidRPr="00584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>Доходная 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2024 год по доходам составило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235703,2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96,7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годового плана.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поступило в 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7A4C18">
        <w:rPr>
          <w:rFonts w:ascii="Times New Roman" w:eastAsia="Times New Roman" w:hAnsi="Times New Roman"/>
          <w:sz w:val="28"/>
          <w:szCs w:val="28"/>
          <w:lang w:eastAsia="ru-RU"/>
        </w:rPr>
        <w:t>83137,4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7A4C18">
        <w:rPr>
          <w:rFonts w:ascii="Times New Roman" w:eastAsia="Times New Roman" w:hAnsi="Times New Roman"/>
          <w:sz w:val="28"/>
          <w:szCs w:val="28"/>
          <w:lang w:eastAsia="ru-RU"/>
        </w:rPr>
        <w:t>103,3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7A4C18" w:rsidRPr="007A4C18" w:rsidRDefault="00584B1C" w:rsidP="007A4C1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A4C18">
        <w:rPr>
          <w:rFonts w:ascii="Times New Roman" w:eastAsia="Times New Roman" w:hAnsi="Times New Roman"/>
          <w:sz w:val="24"/>
          <w:szCs w:val="24"/>
          <w:lang w:eastAsia="ru-RU"/>
        </w:rPr>
        <w:t>Структура налоговых поступлений представлена в диаграмме №1</w:t>
      </w: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706">
        <w:rPr>
          <w:rFonts w:ascii="Times New Roman" w:hAnsi="Times New Roman"/>
          <w:b/>
          <w:sz w:val="28"/>
          <w:szCs w:val="28"/>
        </w:rPr>
        <w:t>2.1.</w:t>
      </w:r>
      <w:r w:rsidRPr="00240706">
        <w:rPr>
          <w:rFonts w:ascii="Times New Roman" w:hAnsi="Times New Roman"/>
          <w:b/>
          <w:sz w:val="28"/>
          <w:szCs w:val="28"/>
        </w:rPr>
        <w:tab/>
        <w:t>Анализ поступления налоговых доходов</w:t>
      </w: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   Налоговые доходы были сформированы в соответствии со статьей 61.1 Бюджетного кодекса Российской Федерации.</w:t>
      </w: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Налоговые доходы при плане </w:t>
      </w:r>
      <w:r>
        <w:rPr>
          <w:rFonts w:ascii="Times New Roman" w:hAnsi="Times New Roman"/>
          <w:sz w:val="28"/>
          <w:szCs w:val="28"/>
        </w:rPr>
        <w:t>82056,0</w:t>
      </w:r>
      <w:r w:rsidRPr="00240706">
        <w:rPr>
          <w:rFonts w:ascii="Times New Roman" w:hAnsi="Times New Roman"/>
          <w:sz w:val="28"/>
          <w:szCs w:val="28"/>
        </w:rPr>
        <w:t xml:space="preserve"> тыс. рублей на год поступили в </w:t>
      </w:r>
      <w:r>
        <w:rPr>
          <w:rFonts w:ascii="Times New Roman" w:hAnsi="Times New Roman"/>
          <w:sz w:val="28"/>
          <w:szCs w:val="28"/>
        </w:rPr>
        <w:t xml:space="preserve">городской </w:t>
      </w:r>
      <w:r w:rsidRPr="00240706">
        <w:rPr>
          <w:rFonts w:ascii="Times New Roman" w:hAnsi="Times New Roman"/>
          <w:sz w:val="28"/>
          <w:szCs w:val="28"/>
        </w:rPr>
        <w:t xml:space="preserve">бюджет поселения в объеме </w:t>
      </w:r>
      <w:r>
        <w:rPr>
          <w:rFonts w:ascii="Times New Roman" w:hAnsi="Times New Roman"/>
          <w:sz w:val="28"/>
          <w:szCs w:val="28"/>
        </w:rPr>
        <w:t>83137,4</w:t>
      </w:r>
      <w:r w:rsidRPr="00240706">
        <w:rPr>
          <w:rFonts w:ascii="Times New Roman" w:hAnsi="Times New Roman"/>
          <w:sz w:val="28"/>
          <w:szCs w:val="28"/>
        </w:rPr>
        <w:t xml:space="preserve"> тыс. рублей (или </w:t>
      </w:r>
      <w:r>
        <w:rPr>
          <w:rFonts w:ascii="Times New Roman" w:hAnsi="Times New Roman"/>
          <w:sz w:val="28"/>
          <w:szCs w:val="28"/>
        </w:rPr>
        <w:t>103,3</w:t>
      </w:r>
      <w:r w:rsidRPr="00240706">
        <w:rPr>
          <w:rFonts w:ascii="Times New Roman" w:hAnsi="Times New Roman"/>
          <w:sz w:val="28"/>
          <w:szCs w:val="28"/>
        </w:rPr>
        <w:t>% к плану).</w:t>
      </w:r>
    </w:p>
    <w:p w:rsidR="007A4C18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В 2024 году наибольший удельный вес в сумме налоговых поступлений занимает: Налог на доходы физических лиц - исполнение составило </w:t>
      </w:r>
      <w:r>
        <w:rPr>
          <w:rFonts w:ascii="Times New Roman" w:hAnsi="Times New Roman"/>
          <w:sz w:val="28"/>
          <w:szCs w:val="28"/>
        </w:rPr>
        <w:t>53965,9</w:t>
      </w:r>
      <w:r w:rsidRPr="00240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06">
        <w:rPr>
          <w:rFonts w:ascii="Times New Roman" w:hAnsi="Times New Roman"/>
          <w:sz w:val="28"/>
          <w:szCs w:val="28"/>
        </w:rPr>
        <w:t xml:space="preserve">тыс. рублей или </w:t>
      </w:r>
      <w:r>
        <w:rPr>
          <w:rFonts w:ascii="Times New Roman" w:hAnsi="Times New Roman"/>
          <w:sz w:val="28"/>
          <w:szCs w:val="28"/>
        </w:rPr>
        <w:t>105,1</w:t>
      </w:r>
      <w:r w:rsidRPr="00240706">
        <w:rPr>
          <w:rFonts w:ascii="Times New Roman" w:hAnsi="Times New Roman"/>
          <w:sz w:val="28"/>
          <w:szCs w:val="28"/>
        </w:rPr>
        <w:t xml:space="preserve">% от бюджетных назначений </w:t>
      </w:r>
      <w:r>
        <w:rPr>
          <w:rFonts w:ascii="Times New Roman" w:hAnsi="Times New Roman"/>
          <w:sz w:val="28"/>
          <w:szCs w:val="28"/>
        </w:rPr>
        <w:t>51345,0</w:t>
      </w:r>
      <w:r w:rsidRPr="00240706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240706">
        <w:rPr>
          <w:rFonts w:ascii="Times New Roman" w:hAnsi="Times New Roman"/>
          <w:sz w:val="28"/>
          <w:szCs w:val="28"/>
        </w:rPr>
        <w:t>.</w:t>
      </w:r>
      <w:proofErr w:type="gramEnd"/>
      <w:r w:rsidRPr="0024070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Земельный налог </w:t>
      </w:r>
      <w:r w:rsidRPr="00240706">
        <w:rPr>
          <w:rFonts w:ascii="Times New Roman" w:hAnsi="Times New Roman"/>
          <w:sz w:val="28"/>
          <w:szCs w:val="28"/>
        </w:rPr>
        <w:t xml:space="preserve">– исполнение составило </w:t>
      </w:r>
      <w:r>
        <w:rPr>
          <w:rFonts w:ascii="Times New Roman" w:hAnsi="Times New Roman"/>
          <w:sz w:val="28"/>
          <w:szCs w:val="28"/>
        </w:rPr>
        <w:t>15376,8</w:t>
      </w:r>
      <w:r w:rsidRPr="00240706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94,6</w:t>
      </w:r>
      <w:r w:rsidRPr="00240706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>
        <w:rPr>
          <w:rFonts w:ascii="Times New Roman" w:hAnsi="Times New Roman"/>
          <w:sz w:val="28"/>
          <w:szCs w:val="28"/>
        </w:rPr>
        <w:t>16263,0</w:t>
      </w:r>
      <w:r w:rsidRPr="00240706">
        <w:rPr>
          <w:rFonts w:ascii="Times New Roman" w:hAnsi="Times New Roman"/>
          <w:sz w:val="28"/>
          <w:szCs w:val="28"/>
        </w:rPr>
        <w:t xml:space="preserve"> тыс. рублей. Единый сельскохозяйственный налог - исполнение составило </w:t>
      </w:r>
      <w:r>
        <w:rPr>
          <w:rFonts w:ascii="Times New Roman" w:hAnsi="Times New Roman"/>
          <w:sz w:val="28"/>
          <w:szCs w:val="28"/>
        </w:rPr>
        <w:t>647,9</w:t>
      </w:r>
      <w:r w:rsidRPr="0024070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99,9% от плановых назначений.</w:t>
      </w:r>
    </w:p>
    <w:p w:rsidR="00B8230B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230B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B8230B">
        <w:rPr>
          <w:rFonts w:ascii="Times New Roman" w:hAnsi="Times New Roman"/>
          <w:sz w:val="28"/>
          <w:szCs w:val="28"/>
        </w:rPr>
        <w:t xml:space="preserve"> за 2024 год поступило в бюджет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B8230B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>в сумме 20903,8</w:t>
      </w:r>
      <w:r w:rsidRPr="00B8230B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102,5</w:t>
      </w:r>
      <w:r w:rsidRPr="00B8230B">
        <w:rPr>
          <w:rFonts w:ascii="Times New Roman" w:hAnsi="Times New Roman"/>
          <w:sz w:val="28"/>
          <w:szCs w:val="28"/>
        </w:rPr>
        <w:t xml:space="preserve"> % от утвержденных годовых назначений </w:t>
      </w:r>
      <w:r>
        <w:rPr>
          <w:rFonts w:ascii="Times New Roman" w:hAnsi="Times New Roman"/>
          <w:sz w:val="28"/>
          <w:szCs w:val="28"/>
        </w:rPr>
        <w:t>20397,6</w:t>
      </w:r>
      <w:r w:rsidRPr="00B8230B">
        <w:rPr>
          <w:rFonts w:ascii="Times New Roman" w:hAnsi="Times New Roman"/>
          <w:sz w:val="28"/>
          <w:szCs w:val="28"/>
        </w:rPr>
        <w:t xml:space="preserve"> тыс. рублей.</w:t>
      </w:r>
    </w:p>
    <w:p w:rsidR="00B8230B" w:rsidRPr="00B8230B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230B">
        <w:rPr>
          <w:rFonts w:ascii="Times New Roman" w:hAnsi="Times New Roman"/>
          <w:sz w:val="28"/>
          <w:szCs w:val="28"/>
        </w:rPr>
        <w:t>Структура неналоговых поступлений представлена в диаграмме №2</w:t>
      </w:r>
    </w:p>
    <w:p w:rsidR="00B8230B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411EE0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411EE0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Pr="00464A51" w:rsidRDefault="00411EE0" w:rsidP="00464A5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11EE0">
        <w:rPr>
          <w:rFonts w:ascii="Times New Roman" w:hAnsi="Times New Roman"/>
          <w:sz w:val="28"/>
          <w:szCs w:val="28"/>
        </w:rPr>
        <w:t>2</w:t>
      </w:r>
      <w:r w:rsidRPr="00464A51">
        <w:rPr>
          <w:rFonts w:ascii="Times New Roman" w:hAnsi="Times New Roman"/>
          <w:b/>
          <w:sz w:val="28"/>
          <w:szCs w:val="28"/>
        </w:rPr>
        <w:t>.2.</w:t>
      </w:r>
      <w:r w:rsidRPr="00464A51">
        <w:rPr>
          <w:rFonts w:ascii="Times New Roman" w:hAnsi="Times New Roman"/>
          <w:b/>
          <w:sz w:val="28"/>
          <w:szCs w:val="28"/>
        </w:rPr>
        <w:tab/>
        <w:t>Анализ поступления неналоговых доходов</w:t>
      </w:r>
    </w:p>
    <w:p w:rsidR="00411EE0" w:rsidRPr="00411EE0" w:rsidRDefault="00411EE0" w:rsidP="00411E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EE0">
        <w:rPr>
          <w:rFonts w:ascii="Times New Roman" w:hAnsi="Times New Roman"/>
          <w:sz w:val="28"/>
          <w:szCs w:val="28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411EE0" w:rsidRDefault="00411EE0" w:rsidP="00411E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11EE0">
        <w:rPr>
          <w:rFonts w:ascii="Times New Roman" w:hAnsi="Times New Roman"/>
          <w:sz w:val="28"/>
          <w:szCs w:val="28"/>
        </w:rPr>
        <w:t xml:space="preserve">Неналоговые доходы при плане на 2024 год в сумме </w:t>
      </w:r>
      <w:r w:rsidR="00464A51">
        <w:rPr>
          <w:rFonts w:ascii="Times New Roman" w:hAnsi="Times New Roman"/>
          <w:sz w:val="28"/>
          <w:szCs w:val="28"/>
        </w:rPr>
        <w:t>20397,6</w:t>
      </w:r>
      <w:r w:rsidRPr="00411EE0">
        <w:rPr>
          <w:rFonts w:ascii="Times New Roman" w:hAnsi="Times New Roman"/>
          <w:sz w:val="28"/>
          <w:szCs w:val="28"/>
        </w:rPr>
        <w:t xml:space="preserve"> тыс. рублей поступили в сумме </w:t>
      </w:r>
      <w:r w:rsidR="00464A51">
        <w:rPr>
          <w:rFonts w:ascii="Times New Roman" w:hAnsi="Times New Roman"/>
          <w:sz w:val="28"/>
          <w:szCs w:val="28"/>
        </w:rPr>
        <w:t>20903,8</w:t>
      </w:r>
      <w:r w:rsidRPr="00411EE0">
        <w:rPr>
          <w:rFonts w:ascii="Times New Roman" w:hAnsi="Times New Roman"/>
          <w:sz w:val="28"/>
          <w:szCs w:val="28"/>
        </w:rPr>
        <w:t xml:space="preserve"> тыс. рублей (</w:t>
      </w:r>
      <w:r w:rsidR="00464A51">
        <w:rPr>
          <w:rFonts w:ascii="Times New Roman" w:hAnsi="Times New Roman"/>
          <w:sz w:val="28"/>
          <w:szCs w:val="28"/>
        </w:rPr>
        <w:t>102,5</w:t>
      </w:r>
      <w:r w:rsidRPr="00411EE0">
        <w:rPr>
          <w:rFonts w:ascii="Times New Roman" w:hAnsi="Times New Roman"/>
          <w:sz w:val="28"/>
          <w:szCs w:val="28"/>
        </w:rPr>
        <w:t>%).  В 2024 году наибольший удельный вес в сумме неналоговых поступлений (</w:t>
      </w:r>
      <w:r w:rsidR="00464A51">
        <w:rPr>
          <w:rFonts w:ascii="Times New Roman" w:hAnsi="Times New Roman"/>
          <w:sz w:val="28"/>
          <w:szCs w:val="28"/>
        </w:rPr>
        <w:t>38,8</w:t>
      </w:r>
      <w:r w:rsidRPr="00411EE0">
        <w:rPr>
          <w:rFonts w:ascii="Times New Roman" w:hAnsi="Times New Roman"/>
          <w:sz w:val="28"/>
          <w:szCs w:val="28"/>
        </w:rPr>
        <w:t xml:space="preserve">%) занимают </w:t>
      </w:r>
      <w:r w:rsidR="00BD0DCA" w:rsidRPr="00BD0DCA">
        <w:rPr>
          <w:rFonts w:ascii="Times New Roman" w:hAnsi="Times New Roman"/>
          <w:sz w:val="28"/>
          <w:szCs w:val="28"/>
        </w:rPr>
        <w:lastRenderedPageBreak/>
        <w:t>«Доходы от оказания платных услуг» - исполнение составило 8115,9 тыс. рублей или 101,1% от утвержденных бюджетных назначений 8028,0 тыс. рублей.</w:t>
      </w:r>
    </w:p>
    <w:p w:rsidR="00ED5AFF" w:rsidRDefault="00ED5AFF" w:rsidP="00411E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5AFF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 xml:space="preserve">Безвозмездные поступления от других бюджетов бюджетной системы Российской Федерации в течение 2024 года поступали в бюджет 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ED5AFF">
        <w:rPr>
          <w:rFonts w:ascii="Times New Roman" w:hAnsi="Times New Roman"/>
          <w:sz w:val="28"/>
          <w:szCs w:val="28"/>
        </w:rPr>
        <w:t>поселения в форме: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 дотаций бюджетам бюджетной системы Российской Федерации;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-межбюджетных трансфертов бюджетной системы Российской Федерации;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-субсидии бюджетам бюджетной системы РФ;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 прочие безвозмездные поступления;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-безвозмездные поступления от негосударственных организаций.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606907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6907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безвозмездных</w:t>
      </w:r>
      <w:r w:rsidRPr="00606907">
        <w:rPr>
          <w:rFonts w:ascii="Times New Roman" w:hAnsi="Times New Roman"/>
          <w:sz w:val="28"/>
          <w:szCs w:val="28"/>
        </w:rPr>
        <w:t xml:space="preserve"> поступлений представлена в диаграмме №</w:t>
      </w:r>
      <w:r>
        <w:rPr>
          <w:rFonts w:ascii="Times New Roman" w:hAnsi="Times New Roman"/>
          <w:sz w:val="28"/>
          <w:szCs w:val="28"/>
        </w:rPr>
        <w:t>3</w:t>
      </w: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26E" w:rsidRPr="005A126E" w:rsidRDefault="005A126E" w:rsidP="005A126E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126E">
        <w:rPr>
          <w:rFonts w:ascii="Times New Roman" w:hAnsi="Times New Roman"/>
          <w:b/>
          <w:sz w:val="28"/>
          <w:szCs w:val="28"/>
        </w:rPr>
        <w:t>2.3.</w:t>
      </w:r>
      <w:r w:rsidRPr="005A126E">
        <w:rPr>
          <w:rFonts w:ascii="Times New Roman" w:hAnsi="Times New Roman"/>
          <w:b/>
          <w:sz w:val="28"/>
          <w:szCs w:val="28"/>
        </w:rPr>
        <w:tab/>
        <w:t>Анализ безвозмездных поступлений</w:t>
      </w:r>
    </w:p>
    <w:p w:rsidR="005A126E" w:rsidRPr="005A126E" w:rsidRDefault="005A126E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126E">
        <w:rPr>
          <w:rFonts w:ascii="Times New Roman" w:hAnsi="Times New Roman"/>
          <w:sz w:val="28"/>
          <w:szCs w:val="28"/>
        </w:rPr>
        <w:t xml:space="preserve">Безвозмездные поступления при плане на 2024 год </w:t>
      </w:r>
      <w:r>
        <w:rPr>
          <w:rFonts w:ascii="Times New Roman" w:hAnsi="Times New Roman"/>
          <w:sz w:val="28"/>
          <w:szCs w:val="28"/>
        </w:rPr>
        <w:t>141218,9</w:t>
      </w:r>
      <w:r w:rsidRPr="005A126E">
        <w:rPr>
          <w:rFonts w:ascii="Times New Roman" w:hAnsi="Times New Roman"/>
          <w:sz w:val="28"/>
          <w:szCs w:val="28"/>
        </w:rPr>
        <w:t xml:space="preserve"> тыс. рублей поступили в сумме </w:t>
      </w:r>
      <w:r>
        <w:rPr>
          <w:rFonts w:ascii="Times New Roman" w:hAnsi="Times New Roman"/>
          <w:sz w:val="28"/>
          <w:szCs w:val="28"/>
        </w:rPr>
        <w:t>131662,0</w:t>
      </w:r>
      <w:r w:rsidRPr="005A126E">
        <w:rPr>
          <w:rFonts w:ascii="Times New Roman" w:hAnsi="Times New Roman"/>
          <w:sz w:val="28"/>
          <w:szCs w:val="28"/>
        </w:rPr>
        <w:t xml:space="preserve"> тыс. рублей (</w:t>
      </w:r>
      <w:r>
        <w:rPr>
          <w:rFonts w:ascii="Times New Roman" w:hAnsi="Times New Roman"/>
          <w:sz w:val="28"/>
          <w:szCs w:val="28"/>
        </w:rPr>
        <w:t>93,2</w:t>
      </w:r>
      <w:r w:rsidRPr="005A126E">
        <w:rPr>
          <w:rFonts w:ascii="Times New Roman" w:hAnsi="Times New Roman"/>
          <w:sz w:val="28"/>
          <w:szCs w:val="28"/>
        </w:rPr>
        <w:t>% к плану).</w:t>
      </w:r>
    </w:p>
    <w:p w:rsidR="005A126E" w:rsidRPr="005A126E" w:rsidRDefault="005A126E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126E">
        <w:rPr>
          <w:rFonts w:ascii="Times New Roman" w:hAnsi="Times New Roman"/>
          <w:sz w:val="28"/>
          <w:szCs w:val="28"/>
        </w:rPr>
        <w:t xml:space="preserve"> В 2024 году наибольший удельный вес (</w:t>
      </w:r>
      <w:r>
        <w:rPr>
          <w:rFonts w:ascii="Times New Roman" w:hAnsi="Times New Roman"/>
          <w:sz w:val="28"/>
          <w:szCs w:val="28"/>
        </w:rPr>
        <w:t>86,4</w:t>
      </w:r>
      <w:r w:rsidRPr="005A126E">
        <w:rPr>
          <w:rFonts w:ascii="Times New Roman" w:hAnsi="Times New Roman"/>
          <w:sz w:val="28"/>
          <w:szCs w:val="28"/>
        </w:rPr>
        <w:t xml:space="preserve">%) в сумме безвозмездных поступлений занимают прочие «Иные  межбюджетные трансферты» - исполнение составило </w:t>
      </w:r>
      <w:r>
        <w:rPr>
          <w:rFonts w:ascii="Times New Roman" w:hAnsi="Times New Roman"/>
          <w:sz w:val="28"/>
          <w:szCs w:val="28"/>
        </w:rPr>
        <w:t>113703,9</w:t>
      </w:r>
      <w:r w:rsidRPr="005A126E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92,3</w:t>
      </w:r>
      <w:r w:rsidRPr="005A126E">
        <w:rPr>
          <w:rFonts w:ascii="Times New Roman" w:hAnsi="Times New Roman"/>
          <w:sz w:val="28"/>
          <w:szCs w:val="28"/>
        </w:rPr>
        <w:t xml:space="preserve">% от утвержденных бюджетных назначений. «Субсидии бюджетам </w:t>
      </w:r>
      <w:r>
        <w:rPr>
          <w:rFonts w:ascii="Times New Roman" w:hAnsi="Times New Roman"/>
          <w:sz w:val="28"/>
          <w:szCs w:val="28"/>
        </w:rPr>
        <w:t>городских поселений</w:t>
      </w:r>
      <w:r w:rsidRPr="005A126E">
        <w:rPr>
          <w:rFonts w:ascii="Times New Roman" w:hAnsi="Times New Roman"/>
          <w:sz w:val="28"/>
          <w:szCs w:val="28"/>
        </w:rPr>
        <w:t xml:space="preserve">» - исполнение составило </w:t>
      </w:r>
      <w:r>
        <w:rPr>
          <w:rFonts w:ascii="Times New Roman" w:hAnsi="Times New Roman"/>
          <w:sz w:val="28"/>
          <w:szCs w:val="28"/>
        </w:rPr>
        <w:t>16350,0</w:t>
      </w:r>
      <w:r w:rsidRPr="005A126E">
        <w:rPr>
          <w:rFonts w:ascii="Times New Roman" w:hAnsi="Times New Roman"/>
          <w:sz w:val="28"/>
          <w:szCs w:val="28"/>
        </w:rPr>
        <w:t xml:space="preserve">  тыс. рублей или 100% от бюджетных назначений. Безвозмездные поступления от негосударственных организаций в сумме </w:t>
      </w:r>
      <w:r>
        <w:rPr>
          <w:rFonts w:ascii="Times New Roman" w:hAnsi="Times New Roman"/>
          <w:sz w:val="28"/>
          <w:szCs w:val="28"/>
        </w:rPr>
        <w:t>150,0</w:t>
      </w:r>
      <w:r w:rsidRPr="005A126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26E">
        <w:rPr>
          <w:rFonts w:ascii="Times New Roman" w:hAnsi="Times New Roman"/>
          <w:sz w:val="28"/>
          <w:szCs w:val="28"/>
        </w:rPr>
        <w:t xml:space="preserve"> или 100,0% от бюджетных назначений </w:t>
      </w:r>
      <w:r>
        <w:rPr>
          <w:rFonts w:ascii="Times New Roman" w:hAnsi="Times New Roman"/>
          <w:sz w:val="28"/>
          <w:szCs w:val="28"/>
        </w:rPr>
        <w:t>150,0</w:t>
      </w:r>
      <w:r w:rsidRPr="005A126E">
        <w:rPr>
          <w:rFonts w:ascii="Times New Roman" w:hAnsi="Times New Roman"/>
          <w:sz w:val="28"/>
          <w:szCs w:val="28"/>
        </w:rPr>
        <w:t xml:space="preserve"> тыс. рублей. </w:t>
      </w:r>
    </w:p>
    <w:p w:rsidR="009031F3" w:rsidRDefault="005A126E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Возврат остатков субсидий, субвенций и иных межбюджетных трансфертов</w:t>
      </w:r>
      <w:r w:rsidRPr="005A126E">
        <w:rPr>
          <w:rFonts w:ascii="Times New Roman" w:hAnsi="Times New Roman"/>
          <w:sz w:val="28"/>
          <w:szCs w:val="28"/>
        </w:rPr>
        <w:t xml:space="preserve"> исполнение составило 100% при плане </w:t>
      </w:r>
      <w:r>
        <w:rPr>
          <w:rFonts w:ascii="Times New Roman" w:hAnsi="Times New Roman"/>
          <w:sz w:val="28"/>
          <w:szCs w:val="28"/>
        </w:rPr>
        <w:t>-3265,9</w:t>
      </w:r>
      <w:r w:rsidRPr="005A126E">
        <w:rPr>
          <w:rFonts w:ascii="Times New Roman" w:hAnsi="Times New Roman"/>
          <w:sz w:val="28"/>
          <w:szCs w:val="28"/>
        </w:rPr>
        <w:t xml:space="preserve"> тыс. рублей.</w:t>
      </w:r>
    </w:p>
    <w:p w:rsidR="009031F3" w:rsidRPr="00981296" w:rsidRDefault="00981296" w:rsidP="0098129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1296">
        <w:rPr>
          <w:rFonts w:ascii="Times New Roman" w:hAnsi="Times New Roman"/>
          <w:b/>
          <w:sz w:val="28"/>
          <w:szCs w:val="28"/>
        </w:rPr>
        <w:t>3.</w:t>
      </w:r>
      <w:r w:rsidRPr="00981296">
        <w:rPr>
          <w:rFonts w:ascii="Times New Roman" w:hAnsi="Times New Roman"/>
          <w:b/>
          <w:sz w:val="28"/>
          <w:szCs w:val="28"/>
        </w:rPr>
        <w:tab/>
        <w:t>Анализ исполнения расходной части бюджета</w:t>
      </w:r>
      <w:r>
        <w:rPr>
          <w:rFonts w:ascii="Times New Roman" w:hAnsi="Times New Roman"/>
          <w:b/>
          <w:sz w:val="28"/>
          <w:szCs w:val="28"/>
        </w:rPr>
        <w:t xml:space="preserve"> городского</w:t>
      </w:r>
      <w:r w:rsidRPr="00981296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3443C7" w:rsidRPr="002A409D" w:rsidRDefault="00882EEA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94525C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2A409D" w:rsidRDefault="0094525C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                                                                                                             тыс.</w:t>
      </w:r>
      <w:r w:rsidR="00882EEA" w:rsidRPr="002A409D">
        <w:rPr>
          <w:rFonts w:ascii="Times New Roman" w:hAnsi="Times New Roman"/>
          <w:sz w:val="24"/>
          <w:szCs w:val="24"/>
        </w:rPr>
        <w:t xml:space="preserve"> руб. </w:t>
      </w:r>
    </w:p>
    <w:tbl>
      <w:tblPr>
        <w:tblStyle w:val="af7"/>
        <w:tblW w:w="10172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843"/>
        <w:gridCol w:w="1701"/>
        <w:gridCol w:w="1133"/>
      </w:tblGrid>
      <w:tr w:rsidR="00981296" w:rsidRPr="002A409D" w:rsidTr="00981296">
        <w:tc>
          <w:tcPr>
            <w:tcW w:w="2943" w:type="dxa"/>
          </w:tcPr>
          <w:p w:rsidR="00981296" w:rsidRPr="007E6893" w:rsidRDefault="00981296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Отклонение исполнения от уточненного плана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981296" w:rsidRPr="002A409D" w:rsidTr="00981296">
        <w:tc>
          <w:tcPr>
            <w:tcW w:w="29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81296" w:rsidRPr="007E6893" w:rsidRDefault="007E6893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81296" w:rsidRPr="007E6893" w:rsidRDefault="007E6893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3" w:type="dxa"/>
            <w:vAlign w:val="center"/>
          </w:tcPr>
          <w:p w:rsidR="00981296" w:rsidRPr="007E6893" w:rsidRDefault="00981296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245081,6</w:t>
            </w:r>
          </w:p>
        </w:tc>
        <w:tc>
          <w:tcPr>
            <w:tcW w:w="184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212460,7</w:t>
            </w:r>
          </w:p>
        </w:tc>
        <w:tc>
          <w:tcPr>
            <w:tcW w:w="1701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-32620,9</w:t>
            </w:r>
          </w:p>
        </w:tc>
        <w:tc>
          <w:tcPr>
            <w:tcW w:w="113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86,7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4554,8</w:t>
            </w:r>
          </w:p>
        </w:tc>
        <w:tc>
          <w:tcPr>
            <w:tcW w:w="184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4054,2</w:t>
            </w:r>
          </w:p>
        </w:tc>
        <w:tc>
          <w:tcPr>
            <w:tcW w:w="1701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-500,6</w:t>
            </w:r>
          </w:p>
        </w:tc>
        <w:tc>
          <w:tcPr>
            <w:tcW w:w="113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89,0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</w:t>
            </w: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правоохранительная</w:t>
            </w: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579,7</w:t>
            </w:r>
          </w:p>
        </w:tc>
        <w:tc>
          <w:tcPr>
            <w:tcW w:w="184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579,7</w:t>
            </w:r>
          </w:p>
        </w:tc>
        <w:tc>
          <w:tcPr>
            <w:tcW w:w="1701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559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52500,4</w:t>
            </w:r>
          </w:p>
        </w:tc>
        <w:tc>
          <w:tcPr>
            <w:tcW w:w="184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52196,0</w:t>
            </w:r>
          </w:p>
        </w:tc>
        <w:tc>
          <w:tcPr>
            <w:tcW w:w="1701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-304,4</w:t>
            </w:r>
          </w:p>
        </w:tc>
        <w:tc>
          <w:tcPr>
            <w:tcW w:w="113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хозяйство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559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149084,2</w:t>
            </w:r>
          </w:p>
        </w:tc>
        <w:tc>
          <w:tcPr>
            <w:tcW w:w="184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117269,6</w:t>
            </w:r>
          </w:p>
        </w:tc>
        <w:tc>
          <w:tcPr>
            <w:tcW w:w="1701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-31814,6</w:t>
            </w:r>
          </w:p>
        </w:tc>
        <w:tc>
          <w:tcPr>
            <w:tcW w:w="113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78,7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32962,0</w:t>
            </w:r>
          </w:p>
        </w:tc>
        <w:tc>
          <w:tcPr>
            <w:tcW w:w="184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32962,0</w:t>
            </w:r>
          </w:p>
        </w:tc>
        <w:tc>
          <w:tcPr>
            <w:tcW w:w="1701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3500,5</w:t>
            </w:r>
          </w:p>
        </w:tc>
        <w:tc>
          <w:tcPr>
            <w:tcW w:w="184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3499,6</w:t>
            </w:r>
          </w:p>
        </w:tc>
        <w:tc>
          <w:tcPr>
            <w:tcW w:w="1701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-0,9</w:t>
            </w:r>
          </w:p>
        </w:tc>
        <w:tc>
          <w:tcPr>
            <w:tcW w:w="113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11000</w:t>
            </w:r>
          </w:p>
        </w:tc>
        <w:tc>
          <w:tcPr>
            <w:tcW w:w="1559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184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1880,0</w:t>
            </w:r>
          </w:p>
        </w:tc>
        <w:tc>
          <w:tcPr>
            <w:tcW w:w="1701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81296" w:rsidRPr="002A409D" w:rsidTr="00430FC0">
        <w:trPr>
          <w:trHeight w:val="1030"/>
        </w:trPr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13000</w:t>
            </w:r>
          </w:p>
        </w:tc>
        <w:tc>
          <w:tcPr>
            <w:tcW w:w="1559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1701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-0,5</w:t>
            </w:r>
          </w:p>
        </w:tc>
        <w:tc>
          <w:tcPr>
            <w:tcW w:w="1133" w:type="dxa"/>
            <w:vAlign w:val="center"/>
          </w:tcPr>
          <w:p w:rsidR="00981296" w:rsidRPr="007E6893" w:rsidRDefault="00FA35A5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</w:tr>
    </w:tbl>
    <w:p w:rsidR="00430FC0" w:rsidRPr="00430FC0" w:rsidRDefault="00430FC0" w:rsidP="00430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2024 год занимают расходы на «Жилищно-коммунальное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хозяйство»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55,2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%); </w:t>
      </w:r>
      <w:proofErr w:type="gramStart"/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gramStart"/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Культура</w:t>
      </w:r>
      <w:proofErr w:type="gramEnd"/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15,5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%); на  «Национальн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ую экономику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24,6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203627" w:rsidRDefault="00430FC0" w:rsidP="00430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данный момент исполнен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86,7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245081,6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212460,7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Данные о расходах по разделам и подразделам бюджета позволяют более детально изучить структуру расходования средств</w:t>
      </w:r>
      <w:r w:rsidR="00744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4B8B" w:rsidRDefault="00744B8B" w:rsidP="00430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представленном отчете о бюджетных расходах за определенный период рассматриваются два основных раздела: «Общегосударственные вопросы» 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(раздел 0100) и «Национальная безопасность и правоохранительная деятельность» (раздел 0300). Анализ показателей исполнения бюджета по каждому подразделу позволяет оценить эффективность использования выделенных средств. Раздел 0100 «Общегосударственные вопросы» включает несколько ключевых подразделов. Начнем с подраздела 03 «Функционирование законодательных (представительных) органов государственной власти и представительных органов муниципальных образований». Здесь были запланированы расходы в размере 850,6 тысяч рублей на обеспечение деятельности Каменского городского Совета депутатов. Фактическое исполнение составило 819,1 тысяч рублей, что составляет 96,3% от запланированного объема. Следующий рассматриваемый подраздел – 07 «Обеспечение проведения выборов и референдумов». На проведение выборов депутатов </w:t>
      </w:r>
      <w:proofErr w:type="gramStart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Каменский</w:t>
      </w:r>
      <w:proofErr w:type="gramEnd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Совет депутатов Каменского района Алтайского края было выделено 500,0 тысяч рублей. В данном случае исполнение составило 100%, что свидетельствует об эффективном использовании выделенных средств и тщательном планировании мероприятий по организации и проведению выборов. Это указывает на хорошую организационную работу и отсутствие непредвиденных расходов. Подраздел 11 «Резервные фонды» предусматривал 175,3 тысяч рублей на ликвидацию последствий чрезвычайных ситуаций и финансирование непредвиденных расходов. Фактическое исполнение составило 224,7 тысяч рублей. Превышение планируемых расходов на 49,4 тысяч рублей может свидетельствовать о возникновении непредвиденных обстоятельств, потребовавших дополнительных финансовых вложений. Подраздел 13 «Другие общегосударственные вопросы» предусматривал значительную сумму – 3028,9 тысяч рублей. Фактическое исполнение составило 2735,1 тысяч рублей, или 90,3%. Недоиспользование сре</w:t>
      </w:r>
      <w:proofErr w:type="gramStart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дств в р</w:t>
      </w:r>
      <w:proofErr w:type="gramEnd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азмере 293,8 тысяч рублей требует детального изучения. Переходя ко второму разделу, 0300 «Национальная безопасность и правоохранительная деятельность», видим, что подраздел 09 «Гражданская оборона» исполнен на 100% от запланированных 35,0 тысяч рублей. Это положительный показатель, свидетельствующий о точности планирования и эффективном использовании выделенных средств. Подраздел 10 «Защита населения и территории от чрезвычайных ситуаций природного и техногенного характера, пожарная безопасность» предусматривал расходы в сумме 484,7 тысяч рублей, включая 224,7 тысяч рублей из резервного фонда. Исполнение составило 100%, что говорит о полной реализации запланированных мероприятий по обеспечению безопасности. Важно отметить эффективное взаимодействие между разными подразделами бюджета, позволившее оперативно реагировать на возникшие чрезвычайные ситуации. Подраздел 14 «Другие вопросы в области национальной безопасности и правоохранительной деятельности» включает, среди прочего, реализацию муниципальной программы 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«Профилактика терроризма». Раздел 0400 «Национальная экономика»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 Этот раздел бюджета, отвечающий за развитие инфраструктуры, включает в себя два основных подраздела: транспорт и дорожное хозяйство. Анализ исполнения бюджета по этим направлениям показывает существенное расхождение между запланированными и фактически израсходованными средствами. Подраздел 08 «Транспорт»: Изначально на транспортные нужды было выделено 175 тысяч рублей. Однако</w:t>
      </w:r>
      <w:proofErr w:type="gramStart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фактически освоено лишь 140 тысяч рублей, что составляет всего 80% от запланированного объема. Подраздел 09 «Дорожное хозяйство (дорожные фонды)»:</w:t>
      </w:r>
      <w:r w:rsidR="00851D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Ситуация с исполнением бюджета в сфере дорожного хозяйства кардинально отличается. Здесь запланировано 24 685,4 тысячи рублей, и фактически освоено 24 614 тысяч рублей, что составляет впечатляющие 99,7%. Это свидетельствует о высокой эффективности управления бюджетными средствами и целевом использовании финансов, выделенных на ремонт и содержание дорожной инфраструктуры. Раздел 0500 «Жилищно-коммунальное хозяйство»</w:t>
      </w:r>
      <w:r w:rsidR="00851DC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>Этот раздел бюджета фокусируется на улучшении жилищных условий населения и обеспечении качественных коммунальных услуг. Здесь также наблюдается высокая степень исполнения бюджетных назначений. Подраздел 01 «Жилищное хозяйство»: Запланировано 14 356 тысяч рублей, освоено 14 336,6 тысяч рублей, что составляет 99,9%. В рамках этого подраздела следует отметить значительные вложения в переселение граждан из аварийного жилья. Из краевого бюджета выделено 8 733,9 тысяч рублей, а из бюджета городского поселения – 1 556,7 тысяч рублей. Эти инвестиции свидетельствуют о приоритетном направлении в социальной политике местной администрации, направленном на улучшение качества жизни населения. Раздел 0800 «Культура, кинематография»</w:t>
      </w:r>
      <w:r w:rsidR="00851D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44B8B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Данный раздел посвящен развитию культурной сферы. Здесь наблюдается полное исполнение бюджетных назначений. Подраздел 01 «Культура, кинематография»: На обеспечение досуга и предоставление культурных услуг населению было выделено 32 777 тысяч рублей, и все средства были израсходованы (100% исполнения). Расходы включали выплату заработной платы, оплату коммунальных услуг и уплату налогов. Подраздел 04 «Другие вопросы в области культуры, кинематографии»: На реализацию муниципальной программы «Культура Каменского района Алтайского края» было выделено 185 тысяч рублей, и средства были освоены полностью (100% исполнения). </w:t>
      </w:r>
    </w:p>
    <w:p w:rsidR="00851DC3" w:rsidRP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Раздел 1000 «Социальная политика»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По подразделу 01 «Пенсионное обеспечение» предусмотрены расходы на выплату пенсии за выслугу лет гражданам, замещавшим должности муниципальной службы в сумме 3190,5 тыс. рублей, исполнение составило 3189,6 тыс. рублей, или 100,0 %.</w:t>
      </w:r>
    </w:p>
    <w:p w:rsidR="00851DC3" w:rsidRP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 xml:space="preserve">По подразделу 03 «Социальное обеспечение населения» предусмотрены расходы в сумме 60,0 тыс. рублей для выплаты почетным гражданам города, исполнение составило 100,0 %. </w:t>
      </w:r>
    </w:p>
    <w:p w:rsid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подразделу 06 «Другие вопросы в области социальной политики» предусмотрены расходы на реализацию муниципальной программы «Развитие гражданского общества на территории Каменского района Алтайского края» в сумме 250,0 тыс. рублей, исполнение составило 100,0 %. </w:t>
      </w:r>
    </w:p>
    <w:p w:rsidR="00851DC3" w:rsidRP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Раздел 11 «Физическая культура и спорт»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По подразделу 1105 «Другие вопросы в области физической культуры и спорта» предусмотрены расходы на реализацию МП «Развитие физической культуры и спорта в Каменском районе» в сумме 1880,0 тыс. рублей, исполнение составило 100,0 %.</w:t>
      </w:r>
    </w:p>
    <w:p w:rsidR="00851DC3" w:rsidRP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Раздел 1300 «Обслуживание государственного (муниципального) долга»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51DC3" w:rsidRDefault="00851DC3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1DC3">
        <w:rPr>
          <w:rFonts w:ascii="Times New Roman" w:eastAsia="Times New Roman" w:hAnsi="Times New Roman"/>
          <w:sz w:val="28"/>
          <w:szCs w:val="28"/>
          <w:lang w:eastAsia="ru-RU"/>
        </w:rPr>
        <w:t>По подразделу 01 «Обслуживание государственного (муниципального) внутреннего долга» предусмотрены расходы для уплаты процентов за пользование кредитными ресурсами в сумме 20,0 тыс. рублей, исполнение составило 19,5 тыс. рублей или 97,6 %.</w:t>
      </w:r>
    </w:p>
    <w:p w:rsidR="007B4D6F" w:rsidRDefault="007B4D6F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6F" w:rsidRDefault="00D1440C" w:rsidP="00D14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40C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</w:t>
      </w:r>
    </w:p>
    <w:p w:rsidR="00D1440C" w:rsidRPr="00D1440C" w:rsidRDefault="00D1440C" w:rsidP="00D14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656C" w:rsidRDefault="002D065A" w:rsidP="00D1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>На начало 2025 года дебиторская задолженность бюджета городского поселения достигла внушительной суммы – 691 930 204,61 рублей. Эта сумма включает в себя как долгосрочную, так и просроченную задолженность. Долгосрочная дебиторская задолженность составила 283 068 946,65 рублей, что представляет собой значительную часть общей суммы. Ещё более тревожной является ситуация с просроченной задолженностью, которая достигла 255 349 397,19 рублей. Это свидетельствует о серьезных проблемах с возвратом денежных сре</w:t>
      </w:r>
      <w:proofErr w:type="gramStart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>дств в б</w:t>
      </w:r>
      <w:proofErr w:type="gramEnd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>юджет поселения. Значительная часть дебиторской задолженности приходится на два основных счета. Первый – счет 1 205 21 000 «Доходы по платежам от операционной аренды». По этому счету общая сумма задолженности составляет 10 663 817,30 рублей. Из них 7 393 214,78 рублей относятся к долгосрочной задолженности, а 3 052 240,07 рублей – к просроченной. Это указывает на наличие задолженностей по арендным платежам, которые не были погашены в установленные сроки</w:t>
      </w:r>
      <w:r w:rsidR="00E12EA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Вторая значительная часть дебиторской задолженности приходится на счет 1 205 23 000 «Расчеты по доходам от платежей при пользовании природными ресурсами». Здесь общая сумма задолженности значительно выше – 209 633 293,98 рублей. Долгосрочная задолженность составляет 199 353 531,87 рублей, а просроченная – 10 279 762,11 рублей. Заслуживает внимания тот факт, что просроченная задолженность по этому счету на 3 427 734,16 рублей меньше, чем в 2023 году. Это говорит о положительной динамике, которая, вероятно, обусловлена усилением работы по взысканию задолженности. Положительная тенденция по снижению просроченной дебиторской задолженности, вероятно, достигнута за счет более активной работы по укреплению платежной дисциплины арендаторов. </w:t>
      </w:r>
      <w:r w:rsidR="00E12EA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году образовалась просроченная дебиторская задолженность в размере 1 851,05 рублей за аренду земельного участка, принадлежащего </w:t>
      </w:r>
      <w:proofErr w:type="spellStart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>Братцевой</w:t>
      </w:r>
      <w:proofErr w:type="spellEnd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 xml:space="preserve"> Наталье </w:t>
      </w:r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Владимировне. Ситуация усугубляется еще и наличием кредиторской задолженности по счету 1 205 23 000 «Расчеты по доходам от платежей при пользовании природными ресурсами». Эта задолженность образовалась из-за переплаты по договорам аренды земельных участков на сумму 79 114,85 рублей. Причина – перечисление арендаторами текущих платежей по неверным реквизитам. Конкретно, речь идет о платежах от В.В. </w:t>
      </w:r>
      <w:proofErr w:type="spellStart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>Громака</w:t>
      </w:r>
      <w:proofErr w:type="spellEnd"/>
      <w:r w:rsidRPr="002D065A">
        <w:rPr>
          <w:rFonts w:ascii="Times New Roman" w:eastAsia="Times New Roman" w:hAnsi="Times New Roman"/>
          <w:sz w:val="28"/>
          <w:szCs w:val="28"/>
          <w:lang w:eastAsia="ru-RU"/>
        </w:rPr>
        <w:t xml:space="preserve"> (37 702,00 рублей – аренда имущества, составляющего казну муниципальных районов), Е.Н. Рахманова (37 230,75 рублей – аренда земельных участков, государственная собственность) и В. Чеховских (4 410,68 рублей – аренда земельных участков, государственная собственность). Это требует тщательного анализа и оперативного решения вопроса с возвратом ошибочно перечисленных средств. Необходимо усилить работу с должниками для взыскания задолженности и предотвращения её дальнейшего роста.</w:t>
      </w:r>
    </w:p>
    <w:p w:rsidR="00E12EA0" w:rsidRPr="00D1440C" w:rsidRDefault="00E12EA0" w:rsidP="00D1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092" w:rsidRDefault="00F2656C" w:rsidP="00F2656C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56C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 w:rsidRPr="00F2656C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2656C" w:rsidRDefault="00F2656C" w:rsidP="00F2656C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656C" w:rsidRPr="00F2656C" w:rsidRDefault="00F2656C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656C">
        <w:rPr>
          <w:rFonts w:ascii="Times New Roman" w:hAnsi="Times New Roman"/>
          <w:sz w:val="28"/>
          <w:szCs w:val="28"/>
        </w:rPr>
        <w:t xml:space="preserve">бъем дорожного фонда </w:t>
      </w:r>
      <w:r>
        <w:rPr>
          <w:rFonts w:ascii="Times New Roman" w:hAnsi="Times New Roman"/>
          <w:sz w:val="28"/>
          <w:szCs w:val="28"/>
        </w:rPr>
        <w:t>городского</w:t>
      </w:r>
      <w:r w:rsidRPr="00F2656C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>
        <w:rPr>
          <w:rFonts w:ascii="Times New Roman" w:hAnsi="Times New Roman"/>
          <w:sz w:val="28"/>
          <w:szCs w:val="28"/>
        </w:rPr>
        <w:t>24685,4</w:t>
      </w:r>
      <w:r w:rsidRPr="00F2656C">
        <w:rPr>
          <w:rFonts w:ascii="Times New Roman" w:hAnsi="Times New Roman"/>
          <w:sz w:val="28"/>
          <w:szCs w:val="28"/>
        </w:rPr>
        <w:t xml:space="preserve"> тыс. рублей. Израсходовано  за 2024 год бюджетных ассигнований дорожного фонда в сумме </w:t>
      </w:r>
      <w:r>
        <w:rPr>
          <w:rFonts w:ascii="Times New Roman" w:hAnsi="Times New Roman"/>
          <w:sz w:val="28"/>
          <w:szCs w:val="28"/>
        </w:rPr>
        <w:t>24614,0</w:t>
      </w:r>
      <w:r w:rsidRPr="00F2656C">
        <w:rPr>
          <w:rFonts w:ascii="Times New Roman" w:hAnsi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/>
          <w:sz w:val="28"/>
          <w:szCs w:val="28"/>
        </w:rPr>
        <w:t>99,7</w:t>
      </w:r>
      <w:r w:rsidRPr="00F2656C">
        <w:rPr>
          <w:rFonts w:ascii="Times New Roman" w:hAnsi="Times New Roman"/>
          <w:sz w:val="28"/>
          <w:szCs w:val="28"/>
        </w:rPr>
        <w:t>% от плановых назначений.</w:t>
      </w:r>
    </w:p>
    <w:p w:rsidR="00F2656C" w:rsidRDefault="00F2656C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56C">
        <w:rPr>
          <w:rFonts w:ascii="Times New Roman" w:hAnsi="Times New Roman"/>
          <w:sz w:val="28"/>
          <w:szCs w:val="28"/>
        </w:rPr>
        <w:t xml:space="preserve">  Остаток нераспределенных бюджетных ассигнований дорожного фонда на 01.01.2025 года составляет </w:t>
      </w:r>
      <w:r>
        <w:rPr>
          <w:rFonts w:ascii="Times New Roman" w:hAnsi="Times New Roman"/>
          <w:sz w:val="28"/>
          <w:szCs w:val="28"/>
        </w:rPr>
        <w:t>71,4</w:t>
      </w:r>
      <w:r w:rsidRPr="00F2656C">
        <w:rPr>
          <w:rFonts w:ascii="Times New Roman" w:hAnsi="Times New Roman"/>
          <w:sz w:val="28"/>
          <w:szCs w:val="28"/>
        </w:rPr>
        <w:t xml:space="preserve"> тыс. рублей.</w:t>
      </w:r>
    </w:p>
    <w:p w:rsidR="00B830C3" w:rsidRDefault="00B830C3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12B31" w:rsidRPr="00912B31" w:rsidRDefault="00912B31" w:rsidP="00912B3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B3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 w:rsidRPr="00912B3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12B31" w:rsidRDefault="00912B31" w:rsidP="00912B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2B31">
        <w:rPr>
          <w:rFonts w:ascii="Times New Roman" w:hAnsi="Times New Roman"/>
          <w:sz w:val="28"/>
          <w:szCs w:val="28"/>
        </w:rPr>
        <w:t xml:space="preserve">Бюджет </w:t>
      </w:r>
      <w:r>
        <w:rPr>
          <w:rFonts w:ascii="Times New Roman" w:hAnsi="Times New Roman"/>
          <w:sz w:val="28"/>
          <w:szCs w:val="28"/>
        </w:rPr>
        <w:t>городского</w:t>
      </w:r>
      <w:r w:rsidRPr="00912B31">
        <w:rPr>
          <w:rFonts w:ascii="Times New Roman" w:hAnsi="Times New Roman"/>
          <w:sz w:val="28"/>
          <w:szCs w:val="28"/>
        </w:rPr>
        <w:t xml:space="preserve"> поселения на 01.01.2025 года утвержден с дефицитом в сумме </w:t>
      </w:r>
      <w:r>
        <w:rPr>
          <w:rFonts w:ascii="Times New Roman" w:hAnsi="Times New Roman"/>
          <w:sz w:val="28"/>
          <w:szCs w:val="28"/>
        </w:rPr>
        <w:t>10220,9</w:t>
      </w:r>
      <w:r w:rsidRPr="00912B31">
        <w:rPr>
          <w:rFonts w:ascii="Times New Roman" w:hAnsi="Times New Roman"/>
          <w:sz w:val="28"/>
          <w:szCs w:val="28"/>
        </w:rPr>
        <w:t xml:space="preserve"> тыс. рублей. Фактическим результатом исполнения бюджета 2024 года явилось образование </w:t>
      </w:r>
      <w:r>
        <w:rPr>
          <w:rFonts w:ascii="Times New Roman" w:hAnsi="Times New Roman"/>
          <w:sz w:val="28"/>
          <w:szCs w:val="28"/>
        </w:rPr>
        <w:t>профицита</w:t>
      </w:r>
      <w:r w:rsidRPr="00912B31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23242,5</w:t>
      </w:r>
      <w:r w:rsidRPr="00912B31">
        <w:rPr>
          <w:rFonts w:ascii="Times New Roman" w:hAnsi="Times New Roman"/>
          <w:sz w:val="28"/>
          <w:szCs w:val="28"/>
        </w:rPr>
        <w:t xml:space="preserve"> тыс. рублей. Неисполненные назначения составили сумму </w:t>
      </w:r>
      <w:r>
        <w:rPr>
          <w:rFonts w:ascii="Times New Roman" w:hAnsi="Times New Roman"/>
          <w:sz w:val="28"/>
          <w:szCs w:val="28"/>
        </w:rPr>
        <w:t>32620,9</w:t>
      </w:r>
      <w:r w:rsidRPr="00912B31">
        <w:rPr>
          <w:rFonts w:ascii="Times New Roman" w:hAnsi="Times New Roman"/>
          <w:sz w:val="28"/>
          <w:szCs w:val="28"/>
        </w:rPr>
        <w:t xml:space="preserve"> тыс. рублей.</w:t>
      </w:r>
    </w:p>
    <w:p w:rsidR="00912B31" w:rsidRPr="00F2656C" w:rsidRDefault="00912B31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Default="00912B31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074999" w:rsidRPr="002A409D" w:rsidRDefault="0007499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4999" w:rsidRPr="00074999" w:rsidRDefault="00375F34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</w:t>
      </w:r>
      <w:r w:rsidR="00074999" w:rsidRPr="00074999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</w:t>
      </w:r>
      <w:r w:rsidR="00074999">
        <w:rPr>
          <w:rFonts w:ascii="Times New Roman" w:hAnsi="Times New Roman"/>
          <w:sz w:val="28"/>
          <w:szCs w:val="28"/>
        </w:rPr>
        <w:t>городского</w:t>
      </w:r>
      <w:r w:rsidR="00074999" w:rsidRPr="00074999">
        <w:rPr>
          <w:rFonts w:ascii="Times New Roman" w:hAnsi="Times New Roman"/>
          <w:sz w:val="28"/>
          <w:szCs w:val="28"/>
        </w:rPr>
        <w:t xml:space="preserve"> поселения за 2024 год представлен в</w:t>
      </w:r>
      <w:proofErr w:type="gramStart"/>
      <w:r w:rsidR="00074999" w:rsidRPr="0007499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74999" w:rsidRPr="00074999">
        <w:rPr>
          <w:rFonts w:ascii="Times New Roman" w:hAnsi="Times New Roman"/>
          <w:sz w:val="28"/>
          <w:szCs w:val="28"/>
        </w:rPr>
        <w:t>онтрольно – счетную палату для проведения экспертизы, что соответствует части 5 статьи 264.2 Бюджетного кодекса российской Федерации.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 Исполнение бюджета </w:t>
      </w:r>
      <w:r>
        <w:rPr>
          <w:rFonts w:ascii="Times New Roman" w:hAnsi="Times New Roman"/>
          <w:sz w:val="28"/>
          <w:szCs w:val="28"/>
        </w:rPr>
        <w:t xml:space="preserve">городского </w:t>
      </w:r>
      <w:r w:rsidRPr="00074999">
        <w:rPr>
          <w:rFonts w:ascii="Times New Roman" w:hAnsi="Times New Roman"/>
          <w:sz w:val="28"/>
          <w:szCs w:val="28"/>
        </w:rPr>
        <w:t>поселения в 2024 году осуществлялось в соответствии</w:t>
      </w:r>
      <w:r w:rsidR="001F3261" w:rsidRPr="001F3261">
        <w:rPr>
          <w:rFonts w:ascii="Times New Roman" w:hAnsi="Times New Roman"/>
          <w:sz w:val="28"/>
          <w:szCs w:val="28"/>
        </w:rPr>
        <w:t xml:space="preserve"> </w:t>
      </w:r>
      <w:r w:rsidR="001F3261">
        <w:rPr>
          <w:rFonts w:ascii="Times New Roman" w:hAnsi="Times New Roman"/>
          <w:sz w:val="28"/>
          <w:szCs w:val="28"/>
        </w:rPr>
        <w:t>с</w:t>
      </w:r>
      <w:r w:rsidR="001F3261" w:rsidRPr="001F3261">
        <w:rPr>
          <w:rFonts w:ascii="Times New Roman" w:hAnsi="Times New Roman"/>
          <w:sz w:val="28"/>
          <w:szCs w:val="28"/>
        </w:rPr>
        <w:t xml:space="preserve"> Решением Каменского городского Совета депутатов Каменского района Алтайского края от 26.12.2023 года № 35 «О бюджете муниципального образования город Камень-на-Оби Каменского района Алтайского края на 2024 год и на плановый период 2025 и 2026 годов»</w:t>
      </w:r>
      <w:r w:rsidR="001F3261">
        <w:rPr>
          <w:rFonts w:ascii="Times New Roman" w:hAnsi="Times New Roman"/>
          <w:sz w:val="28"/>
          <w:szCs w:val="28"/>
        </w:rPr>
        <w:t xml:space="preserve"> (с изменениями)</w:t>
      </w:r>
      <w:r w:rsidRPr="00074999">
        <w:rPr>
          <w:rFonts w:ascii="Times New Roman" w:hAnsi="Times New Roman"/>
          <w:sz w:val="28"/>
          <w:szCs w:val="28"/>
        </w:rPr>
        <w:t>.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lastRenderedPageBreak/>
        <w:t xml:space="preserve">  Поступление доходов за 2024 год в бюджет </w:t>
      </w:r>
      <w:r w:rsidR="001F3261" w:rsidRPr="001F3261">
        <w:rPr>
          <w:rFonts w:ascii="Times New Roman" w:hAnsi="Times New Roman"/>
          <w:sz w:val="28"/>
          <w:szCs w:val="28"/>
        </w:rPr>
        <w:t>муниципального образования город Камень-на-Оби Каменского района</w:t>
      </w:r>
      <w:r w:rsidRPr="00074999">
        <w:rPr>
          <w:rFonts w:ascii="Times New Roman" w:hAnsi="Times New Roman"/>
          <w:sz w:val="28"/>
          <w:szCs w:val="28"/>
        </w:rPr>
        <w:t xml:space="preserve"> выполнено на </w:t>
      </w:r>
      <w:r w:rsidR="00DC6A47">
        <w:rPr>
          <w:rFonts w:ascii="Times New Roman" w:hAnsi="Times New Roman"/>
          <w:sz w:val="28"/>
          <w:szCs w:val="28"/>
        </w:rPr>
        <w:t>96,7</w:t>
      </w:r>
      <w:r w:rsidRPr="00074999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Расходы бюджета </w:t>
      </w:r>
      <w:r w:rsidR="00DC6A47">
        <w:rPr>
          <w:rFonts w:ascii="Times New Roman" w:hAnsi="Times New Roman"/>
          <w:sz w:val="28"/>
          <w:szCs w:val="28"/>
        </w:rPr>
        <w:t>городского</w:t>
      </w:r>
      <w:r w:rsidRPr="00074999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DC6A47" w:rsidRPr="00DC6A47">
        <w:rPr>
          <w:rFonts w:ascii="Times New Roman" w:hAnsi="Times New Roman"/>
          <w:sz w:val="28"/>
          <w:szCs w:val="28"/>
        </w:rPr>
        <w:t>212460,7</w:t>
      </w:r>
      <w:r w:rsidR="00DC6A47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тыс. рублей или </w:t>
      </w:r>
      <w:r w:rsidR="00DC6A47">
        <w:rPr>
          <w:rFonts w:ascii="Times New Roman" w:hAnsi="Times New Roman"/>
          <w:sz w:val="28"/>
          <w:szCs w:val="28"/>
        </w:rPr>
        <w:t>86,7</w:t>
      </w:r>
      <w:r w:rsidRPr="00074999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CC000A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</w:t>
      </w:r>
      <w:r w:rsidR="00411A45" w:rsidRPr="00411A45">
        <w:rPr>
          <w:rFonts w:ascii="Times New Roman" w:hAnsi="Times New Roman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Pr="00074999">
        <w:rPr>
          <w:rFonts w:ascii="Times New Roman" w:hAnsi="Times New Roman"/>
          <w:sz w:val="28"/>
          <w:szCs w:val="28"/>
        </w:rPr>
        <w:t xml:space="preserve"> за 2024 год. Внимательно изучив отчет «Об исполнении бюджета </w:t>
      </w:r>
      <w:r w:rsidR="00411A45" w:rsidRPr="00411A45">
        <w:rPr>
          <w:rFonts w:ascii="Times New Roman" w:hAnsi="Times New Roman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Pr="00074999">
        <w:rPr>
          <w:rFonts w:ascii="Times New Roman" w:hAnsi="Times New Roman"/>
          <w:sz w:val="28"/>
          <w:szCs w:val="28"/>
        </w:rPr>
        <w:t xml:space="preserve">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</w:t>
      </w:r>
      <w:r w:rsidR="00247222" w:rsidRPr="00247222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город Камень-на-Оби Каменского района Алтайского края, утвержденного  решением Каменского городского Совета депутатов Каменского района Алтайского края от 24.12.2021 №13</w:t>
      </w:r>
      <w:r w:rsidRPr="00074999">
        <w:rPr>
          <w:rFonts w:ascii="Times New Roman" w:hAnsi="Times New Roman"/>
          <w:sz w:val="28"/>
          <w:szCs w:val="28"/>
        </w:rPr>
        <w:t>.</w:t>
      </w:r>
      <w:r w:rsidR="00247222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 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247222" w:rsidRPr="00247222">
        <w:rPr>
          <w:rFonts w:ascii="Times New Roman" w:hAnsi="Times New Roman"/>
          <w:sz w:val="28"/>
          <w:szCs w:val="28"/>
        </w:rPr>
        <w:t>муниципально</w:t>
      </w:r>
      <w:r w:rsidR="00247222">
        <w:rPr>
          <w:rFonts w:ascii="Times New Roman" w:hAnsi="Times New Roman"/>
          <w:sz w:val="28"/>
          <w:szCs w:val="28"/>
        </w:rPr>
        <w:t>м</w:t>
      </w:r>
      <w:r w:rsidR="00247222" w:rsidRPr="00247222">
        <w:rPr>
          <w:rFonts w:ascii="Times New Roman" w:hAnsi="Times New Roman"/>
          <w:sz w:val="28"/>
          <w:szCs w:val="28"/>
        </w:rPr>
        <w:t xml:space="preserve"> образовани</w:t>
      </w:r>
      <w:r w:rsidR="00247222">
        <w:rPr>
          <w:rFonts w:ascii="Times New Roman" w:hAnsi="Times New Roman"/>
          <w:sz w:val="28"/>
          <w:szCs w:val="28"/>
        </w:rPr>
        <w:t>и</w:t>
      </w:r>
      <w:r w:rsidR="00247222" w:rsidRPr="00247222">
        <w:rPr>
          <w:rFonts w:ascii="Times New Roman" w:hAnsi="Times New Roman"/>
          <w:sz w:val="28"/>
          <w:szCs w:val="28"/>
        </w:rPr>
        <w:t xml:space="preserve"> город Камень-на-Оби</w:t>
      </w:r>
      <w:r w:rsidRPr="00074999">
        <w:rPr>
          <w:rFonts w:ascii="Times New Roman" w:hAnsi="Times New Roman"/>
          <w:sz w:val="28"/>
          <w:szCs w:val="28"/>
        </w:rPr>
        <w:t xml:space="preserve">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247222" w:rsidRPr="00247222">
        <w:rPr>
          <w:rFonts w:ascii="Times New Roman" w:hAnsi="Times New Roman"/>
          <w:sz w:val="28"/>
          <w:szCs w:val="28"/>
        </w:rPr>
        <w:t xml:space="preserve">муниципального образования город Камень-на-Оби </w:t>
      </w:r>
      <w:r w:rsidRPr="00074999">
        <w:rPr>
          <w:rFonts w:ascii="Times New Roman" w:hAnsi="Times New Roman"/>
          <w:sz w:val="28"/>
          <w:szCs w:val="28"/>
        </w:rPr>
        <w:t>за 2024 год.</w:t>
      </w:r>
    </w:p>
    <w:p w:rsidR="00247222" w:rsidRDefault="00247222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6"/>
      <w:footerReference w:type="even" r:id="rId17"/>
      <w:footerReference w:type="default" r:id="rId18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078" w:rsidRDefault="00755078">
      <w:pPr>
        <w:spacing w:after="0" w:line="240" w:lineRule="auto"/>
      </w:pPr>
      <w:r>
        <w:separator/>
      </w:r>
    </w:p>
  </w:endnote>
  <w:endnote w:type="continuationSeparator" w:id="0">
    <w:p w:rsidR="00755078" w:rsidRDefault="0075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3" w:rsidRDefault="007E689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93" w:rsidRDefault="007E6893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3" w:rsidRDefault="007E6893" w:rsidP="00272D38">
    <w:pPr>
      <w:pStyle w:val="a3"/>
      <w:framePr w:wrap="around" w:vAnchor="text" w:hAnchor="margin" w:xAlign="right" w:y="1"/>
      <w:rPr>
        <w:rStyle w:val="a5"/>
      </w:rPr>
    </w:pPr>
  </w:p>
  <w:p w:rsidR="007E6893" w:rsidRDefault="007E6893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078" w:rsidRDefault="00755078">
      <w:pPr>
        <w:spacing w:after="0" w:line="240" w:lineRule="auto"/>
      </w:pPr>
      <w:r>
        <w:separator/>
      </w:r>
    </w:p>
  </w:footnote>
  <w:footnote w:type="continuationSeparator" w:id="0">
    <w:p w:rsidR="00755078" w:rsidRDefault="00755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Content>
      <w:p w:rsidR="007E6893" w:rsidRDefault="007E689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30C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7E6893" w:rsidRDefault="007E689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07A13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4999"/>
    <w:rsid w:val="00077B5F"/>
    <w:rsid w:val="00080880"/>
    <w:rsid w:val="00081AC4"/>
    <w:rsid w:val="00081F6E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F27"/>
    <w:rsid w:val="000B6649"/>
    <w:rsid w:val="000C1B12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6433"/>
    <w:rsid w:val="0014693D"/>
    <w:rsid w:val="00146999"/>
    <w:rsid w:val="001502A4"/>
    <w:rsid w:val="0015118D"/>
    <w:rsid w:val="001512EA"/>
    <w:rsid w:val="00153CBC"/>
    <w:rsid w:val="001562D6"/>
    <w:rsid w:val="001574E3"/>
    <w:rsid w:val="0016033E"/>
    <w:rsid w:val="001622D0"/>
    <w:rsid w:val="0016596D"/>
    <w:rsid w:val="00166076"/>
    <w:rsid w:val="00170E03"/>
    <w:rsid w:val="0017318E"/>
    <w:rsid w:val="001737D9"/>
    <w:rsid w:val="00173E9F"/>
    <w:rsid w:val="0017713E"/>
    <w:rsid w:val="001771A7"/>
    <w:rsid w:val="00177397"/>
    <w:rsid w:val="00177563"/>
    <w:rsid w:val="001803CB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75F"/>
    <w:rsid w:val="00197557"/>
    <w:rsid w:val="001A0636"/>
    <w:rsid w:val="001A0C66"/>
    <w:rsid w:val="001A4C02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7CCA"/>
    <w:rsid w:val="001F01DF"/>
    <w:rsid w:val="001F17C8"/>
    <w:rsid w:val="001F2C86"/>
    <w:rsid w:val="001F3261"/>
    <w:rsid w:val="001F3702"/>
    <w:rsid w:val="001F53A8"/>
    <w:rsid w:val="001F60A2"/>
    <w:rsid w:val="001F6429"/>
    <w:rsid w:val="00200421"/>
    <w:rsid w:val="0020148D"/>
    <w:rsid w:val="00201530"/>
    <w:rsid w:val="00201F27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7CBB"/>
    <w:rsid w:val="00240706"/>
    <w:rsid w:val="00240BA3"/>
    <w:rsid w:val="00243380"/>
    <w:rsid w:val="00244D89"/>
    <w:rsid w:val="00247222"/>
    <w:rsid w:val="0024765C"/>
    <w:rsid w:val="00250B47"/>
    <w:rsid w:val="00251EBE"/>
    <w:rsid w:val="002536A5"/>
    <w:rsid w:val="00254956"/>
    <w:rsid w:val="002557E2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33BB"/>
    <w:rsid w:val="002853F3"/>
    <w:rsid w:val="002869D2"/>
    <w:rsid w:val="00286F12"/>
    <w:rsid w:val="0028787A"/>
    <w:rsid w:val="00292DC6"/>
    <w:rsid w:val="00292F8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0FC"/>
    <w:rsid w:val="002C44B0"/>
    <w:rsid w:val="002C7915"/>
    <w:rsid w:val="002C7C6D"/>
    <w:rsid w:val="002D001C"/>
    <w:rsid w:val="002D065A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C5D"/>
    <w:rsid w:val="002E70F0"/>
    <w:rsid w:val="002E7DD7"/>
    <w:rsid w:val="002F29A0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10FAD"/>
    <w:rsid w:val="0031162B"/>
    <w:rsid w:val="0031237E"/>
    <w:rsid w:val="00312B04"/>
    <w:rsid w:val="003134C3"/>
    <w:rsid w:val="00313FBF"/>
    <w:rsid w:val="003143E8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4542"/>
    <w:rsid w:val="003363EC"/>
    <w:rsid w:val="00336728"/>
    <w:rsid w:val="00336AA4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43A7"/>
    <w:rsid w:val="0035449F"/>
    <w:rsid w:val="00355392"/>
    <w:rsid w:val="003558B4"/>
    <w:rsid w:val="00356D53"/>
    <w:rsid w:val="00357101"/>
    <w:rsid w:val="00361C81"/>
    <w:rsid w:val="00362038"/>
    <w:rsid w:val="003620B6"/>
    <w:rsid w:val="0036684B"/>
    <w:rsid w:val="00367587"/>
    <w:rsid w:val="003714C8"/>
    <w:rsid w:val="0037339A"/>
    <w:rsid w:val="003739E2"/>
    <w:rsid w:val="00375576"/>
    <w:rsid w:val="00375F34"/>
    <w:rsid w:val="003770B2"/>
    <w:rsid w:val="003806CD"/>
    <w:rsid w:val="00381CF8"/>
    <w:rsid w:val="003830E2"/>
    <w:rsid w:val="00384E72"/>
    <w:rsid w:val="00385911"/>
    <w:rsid w:val="003867BE"/>
    <w:rsid w:val="00390DD4"/>
    <w:rsid w:val="0039198B"/>
    <w:rsid w:val="00392A4A"/>
    <w:rsid w:val="00394499"/>
    <w:rsid w:val="00395C58"/>
    <w:rsid w:val="00395FF9"/>
    <w:rsid w:val="0039624B"/>
    <w:rsid w:val="0039799E"/>
    <w:rsid w:val="003A0E0A"/>
    <w:rsid w:val="003A195A"/>
    <w:rsid w:val="003A2F47"/>
    <w:rsid w:val="003A382C"/>
    <w:rsid w:val="003A3913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D15"/>
    <w:rsid w:val="003C44C2"/>
    <w:rsid w:val="003C4853"/>
    <w:rsid w:val="003D2133"/>
    <w:rsid w:val="003D5CE7"/>
    <w:rsid w:val="003D7C1C"/>
    <w:rsid w:val="003E0BF9"/>
    <w:rsid w:val="003E1028"/>
    <w:rsid w:val="003E137A"/>
    <w:rsid w:val="003E14CD"/>
    <w:rsid w:val="003E2FDE"/>
    <w:rsid w:val="003E39D4"/>
    <w:rsid w:val="003E4581"/>
    <w:rsid w:val="003E781A"/>
    <w:rsid w:val="003E7AB1"/>
    <w:rsid w:val="003E7B46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FC3"/>
    <w:rsid w:val="004066FB"/>
    <w:rsid w:val="00406E4E"/>
    <w:rsid w:val="00407EE7"/>
    <w:rsid w:val="004100EE"/>
    <w:rsid w:val="00411A45"/>
    <w:rsid w:val="00411EE0"/>
    <w:rsid w:val="00412BFD"/>
    <w:rsid w:val="00412CCA"/>
    <w:rsid w:val="00415252"/>
    <w:rsid w:val="00415C7F"/>
    <w:rsid w:val="0042068A"/>
    <w:rsid w:val="0042363B"/>
    <w:rsid w:val="004244FE"/>
    <w:rsid w:val="00426510"/>
    <w:rsid w:val="00426A3E"/>
    <w:rsid w:val="00426D1C"/>
    <w:rsid w:val="00427377"/>
    <w:rsid w:val="00430FC0"/>
    <w:rsid w:val="00431FF6"/>
    <w:rsid w:val="00433124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1B85"/>
    <w:rsid w:val="004638A4"/>
    <w:rsid w:val="00464237"/>
    <w:rsid w:val="00464514"/>
    <w:rsid w:val="00464A51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55A1"/>
    <w:rsid w:val="004A5D7C"/>
    <w:rsid w:val="004A7091"/>
    <w:rsid w:val="004A7371"/>
    <w:rsid w:val="004A7885"/>
    <w:rsid w:val="004B1D45"/>
    <w:rsid w:val="004B35BA"/>
    <w:rsid w:val="004B3CAE"/>
    <w:rsid w:val="004B4221"/>
    <w:rsid w:val="004B57DA"/>
    <w:rsid w:val="004B62FA"/>
    <w:rsid w:val="004B7993"/>
    <w:rsid w:val="004B7D77"/>
    <w:rsid w:val="004C0207"/>
    <w:rsid w:val="004C42D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BC7"/>
    <w:rsid w:val="00506009"/>
    <w:rsid w:val="005060B1"/>
    <w:rsid w:val="0050703B"/>
    <w:rsid w:val="0050756E"/>
    <w:rsid w:val="005103F0"/>
    <w:rsid w:val="00513876"/>
    <w:rsid w:val="00514DA4"/>
    <w:rsid w:val="005152EC"/>
    <w:rsid w:val="00516259"/>
    <w:rsid w:val="005223C3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3550"/>
    <w:rsid w:val="0054494D"/>
    <w:rsid w:val="00545033"/>
    <w:rsid w:val="0054590F"/>
    <w:rsid w:val="00551BCD"/>
    <w:rsid w:val="005520A6"/>
    <w:rsid w:val="005531D9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E51"/>
    <w:rsid w:val="00583ED0"/>
    <w:rsid w:val="00584B1C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126E"/>
    <w:rsid w:val="005A2BCA"/>
    <w:rsid w:val="005A48E2"/>
    <w:rsid w:val="005A56E4"/>
    <w:rsid w:val="005A57B6"/>
    <w:rsid w:val="005A674C"/>
    <w:rsid w:val="005A6CB1"/>
    <w:rsid w:val="005A6E72"/>
    <w:rsid w:val="005A7D27"/>
    <w:rsid w:val="005B0A3F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6685"/>
    <w:rsid w:val="00606907"/>
    <w:rsid w:val="00607F85"/>
    <w:rsid w:val="006115D9"/>
    <w:rsid w:val="00611871"/>
    <w:rsid w:val="006177E6"/>
    <w:rsid w:val="00621EE6"/>
    <w:rsid w:val="006230F3"/>
    <w:rsid w:val="00631A35"/>
    <w:rsid w:val="00631CFE"/>
    <w:rsid w:val="006344E7"/>
    <w:rsid w:val="0063472C"/>
    <w:rsid w:val="00634DEE"/>
    <w:rsid w:val="0063547B"/>
    <w:rsid w:val="00635E8E"/>
    <w:rsid w:val="006373AC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3E44"/>
    <w:rsid w:val="00665ACA"/>
    <w:rsid w:val="00665C22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478D"/>
    <w:rsid w:val="006D57B3"/>
    <w:rsid w:val="006D5ECD"/>
    <w:rsid w:val="006D61DD"/>
    <w:rsid w:val="006D7D6E"/>
    <w:rsid w:val="006E1299"/>
    <w:rsid w:val="006E204B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21719"/>
    <w:rsid w:val="00722EB0"/>
    <w:rsid w:val="00722FE7"/>
    <w:rsid w:val="0072505D"/>
    <w:rsid w:val="007257C5"/>
    <w:rsid w:val="00726801"/>
    <w:rsid w:val="00727BE8"/>
    <w:rsid w:val="00730296"/>
    <w:rsid w:val="00733646"/>
    <w:rsid w:val="00733704"/>
    <w:rsid w:val="00735359"/>
    <w:rsid w:val="007428E9"/>
    <w:rsid w:val="00744001"/>
    <w:rsid w:val="007443DA"/>
    <w:rsid w:val="00744B8B"/>
    <w:rsid w:val="00745491"/>
    <w:rsid w:val="00747199"/>
    <w:rsid w:val="007508B0"/>
    <w:rsid w:val="007531A3"/>
    <w:rsid w:val="00754477"/>
    <w:rsid w:val="00755007"/>
    <w:rsid w:val="00755078"/>
    <w:rsid w:val="00756F2A"/>
    <w:rsid w:val="007605A1"/>
    <w:rsid w:val="007608BF"/>
    <w:rsid w:val="00761618"/>
    <w:rsid w:val="00762F99"/>
    <w:rsid w:val="00764811"/>
    <w:rsid w:val="00767F68"/>
    <w:rsid w:val="0077282B"/>
    <w:rsid w:val="00776085"/>
    <w:rsid w:val="00777F31"/>
    <w:rsid w:val="007806A3"/>
    <w:rsid w:val="0078274D"/>
    <w:rsid w:val="00782BCE"/>
    <w:rsid w:val="00784798"/>
    <w:rsid w:val="007855B4"/>
    <w:rsid w:val="007909B7"/>
    <w:rsid w:val="007909EF"/>
    <w:rsid w:val="00790DDC"/>
    <w:rsid w:val="007915BE"/>
    <w:rsid w:val="00791804"/>
    <w:rsid w:val="007937C4"/>
    <w:rsid w:val="007A1C55"/>
    <w:rsid w:val="007A1E7D"/>
    <w:rsid w:val="007A29FD"/>
    <w:rsid w:val="007A4C18"/>
    <w:rsid w:val="007A60FA"/>
    <w:rsid w:val="007A745B"/>
    <w:rsid w:val="007A7602"/>
    <w:rsid w:val="007A7909"/>
    <w:rsid w:val="007B025B"/>
    <w:rsid w:val="007B065A"/>
    <w:rsid w:val="007B1F47"/>
    <w:rsid w:val="007B4D6F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E04E4"/>
    <w:rsid w:val="007E23B8"/>
    <w:rsid w:val="007E32A0"/>
    <w:rsid w:val="007E3BA1"/>
    <w:rsid w:val="007E4D42"/>
    <w:rsid w:val="007E5311"/>
    <w:rsid w:val="007E6893"/>
    <w:rsid w:val="007F4573"/>
    <w:rsid w:val="007F64B3"/>
    <w:rsid w:val="007F6ECE"/>
    <w:rsid w:val="007F7167"/>
    <w:rsid w:val="008002C1"/>
    <w:rsid w:val="00800C8E"/>
    <w:rsid w:val="008010BE"/>
    <w:rsid w:val="00801B49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CC8"/>
    <w:rsid w:val="00832791"/>
    <w:rsid w:val="008332C6"/>
    <w:rsid w:val="0083369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1DC3"/>
    <w:rsid w:val="00853175"/>
    <w:rsid w:val="008561B7"/>
    <w:rsid w:val="008625A4"/>
    <w:rsid w:val="00862A69"/>
    <w:rsid w:val="00865084"/>
    <w:rsid w:val="00865180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97C7A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2DD1"/>
    <w:rsid w:val="008D31C7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90052E"/>
    <w:rsid w:val="0090108D"/>
    <w:rsid w:val="009019C6"/>
    <w:rsid w:val="00901CCE"/>
    <w:rsid w:val="00901D18"/>
    <w:rsid w:val="009031F3"/>
    <w:rsid w:val="00903510"/>
    <w:rsid w:val="0090398F"/>
    <w:rsid w:val="0090548F"/>
    <w:rsid w:val="00905B44"/>
    <w:rsid w:val="009063BB"/>
    <w:rsid w:val="0091155D"/>
    <w:rsid w:val="0091243B"/>
    <w:rsid w:val="00912B31"/>
    <w:rsid w:val="009146E8"/>
    <w:rsid w:val="009155C7"/>
    <w:rsid w:val="009166F5"/>
    <w:rsid w:val="009166F7"/>
    <w:rsid w:val="009177F7"/>
    <w:rsid w:val="00917C34"/>
    <w:rsid w:val="00920948"/>
    <w:rsid w:val="00920ABC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25C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877"/>
    <w:rsid w:val="00956F5F"/>
    <w:rsid w:val="00960397"/>
    <w:rsid w:val="0096138F"/>
    <w:rsid w:val="009614D1"/>
    <w:rsid w:val="00964D55"/>
    <w:rsid w:val="00970A15"/>
    <w:rsid w:val="009718D7"/>
    <w:rsid w:val="00972A03"/>
    <w:rsid w:val="0097486A"/>
    <w:rsid w:val="00981296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C91"/>
    <w:rsid w:val="009F253F"/>
    <w:rsid w:val="009F3D3A"/>
    <w:rsid w:val="00A00369"/>
    <w:rsid w:val="00A031D1"/>
    <w:rsid w:val="00A04849"/>
    <w:rsid w:val="00A057A9"/>
    <w:rsid w:val="00A05892"/>
    <w:rsid w:val="00A05A35"/>
    <w:rsid w:val="00A10E64"/>
    <w:rsid w:val="00A11B3D"/>
    <w:rsid w:val="00A12333"/>
    <w:rsid w:val="00A126B1"/>
    <w:rsid w:val="00A14AD5"/>
    <w:rsid w:val="00A14DFF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D8C"/>
    <w:rsid w:val="00A410F5"/>
    <w:rsid w:val="00A411B3"/>
    <w:rsid w:val="00A41735"/>
    <w:rsid w:val="00A41BD5"/>
    <w:rsid w:val="00A43622"/>
    <w:rsid w:val="00A43C43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53D1"/>
    <w:rsid w:val="00A67493"/>
    <w:rsid w:val="00A70F8C"/>
    <w:rsid w:val="00A71092"/>
    <w:rsid w:val="00A717D4"/>
    <w:rsid w:val="00A73416"/>
    <w:rsid w:val="00A76556"/>
    <w:rsid w:val="00A76910"/>
    <w:rsid w:val="00A77C9B"/>
    <w:rsid w:val="00A81A73"/>
    <w:rsid w:val="00A826D4"/>
    <w:rsid w:val="00A8487B"/>
    <w:rsid w:val="00A84B8D"/>
    <w:rsid w:val="00A91020"/>
    <w:rsid w:val="00A92056"/>
    <w:rsid w:val="00A93216"/>
    <w:rsid w:val="00A953BE"/>
    <w:rsid w:val="00A97F23"/>
    <w:rsid w:val="00AA0D54"/>
    <w:rsid w:val="00AA2C86"/>
    <w:rsid w:val="00AA3085"/>
    <w:rsid w:val="00AA35A2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B10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220A"/>
    <w:rsid w:val="00B14B4C"/>
    <w:rsid w:val="00B14C77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36CA"/>
    <w:rsid w:val="00B55D90"/>
    <w:rsid w:val="00B62376"/>
    <w:rsid w:val="00B6490A"/>
    <w:rsid w:val="00B6599C"/>
    <w:rsid w:val="00B65FB5"/>
    <w:rsid w:val="00B661A5"/>
    <w:rsid w:val="00B6785D"/>
    <w:rsid w:val="00B70AB6"/>
    <w:rsid w:val="00B70B34"/>
    <w:rsid w:val="00B730EA"/>
    <w:rsid w:val="00B741D4"/>
    <w:rsid w:val="00B74B00"/>
    <w:rsid w:val="00B75F61"/>
    <w:rsid w:val="00B807B4"/>
    <w:rsid w:val="00B8185B"/>
    <w:rsid w:val="00B8230B"/>
    <w:rsid w:val="00B82DC9"/>
    <w:rsid w:val="00B830C3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2C75"/>
    <w:rsid w:val="00BB5E31"/>
    <w:rsid w:val="00BB5EF2"/>
    <w:rsid w:val="00BB7065"/>
    <w:rsid w:val="00BB70F3"/>
    <w:rsid w:val="00BC066B"/>
    <w:rsid w:val="00BC06AB"/>
    <w:rsid w:val="00BC2857"/>
    <w:rsid w:val="00BC3E69"/>
    <w:rsid w:val="00BC4BBB"/>
    <w:rsid w:val="00BC541F"/>
    <w:rsid w:val="00BC5FC4"/>
    <w:rsid w:val="00BC65AD"/>
    <w:rsid w:val="00BD0DCA"/>
    <w:rsid w:val="00BD1DF5"/>
    <w:rsid w:val="00BD3255"/>
    <w:rsid w:val="00BD3D77"/>
    <w:rsid w:val="00BD427B"/>
    <w:rsid w:val="00BD6487"/>
    <w:rsid w:val="00BD7D93"/>
    <w:rsid w:val="00BE00E5"/>
    <w:rsid w:val="00BE092B"/>
    <w:rsid w:val="00BE461D"/>
    <w:rsid w:val="00BE61B7"/>
    <w:rsid w:val="00BF01D0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72AF"/>
    <w:rsid w:val="00C12FC8"/>
    <w:rsid w:val="00C13F44"/>
    <w:rsid w:val="00C14350"/>
    <w:rsid w:val="00C1523D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6BA"/>
    <w:rsid w:val="00CB2DBB"/>
    <w:rsid w:val="00CB3D5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8EB"/>
    <w:rsid w:val="00D0095B"/>
    <w:rsid w:val="00D02550"/>
    <w:rsid w:val="00D02FC6"/>
    <w:rsid w:val="00D035D6"/>
    <w:rsid w:val="00D05796"/>
    <w:rsid w:val="00D07483"/>
    <w:rsid w:val="00D11371"/>
    <w:rsid w:val="00D11CBF"/>
    <w:rsid w:val="00D1266E"/>
    <w:rsid w:val="00D12977"/>
    <w:rsid w:val="00D1440C"/>
    <w:rsid w:val="00D15B7A"/>
    <w:rsid w:val="00D16A98"/>
    <w:rsid w:val="00D177A5"/>
    <w:rsid w:val="00D20324"/>
    <w:rsid w:val="00D20555"/>
    <w:rsid w:val="00D23C94"/>
    <w:rsid w:val="00D24D22"/>
    <w:rsid w:val="00D26EB0"/>
    <w:rsid w:val="00D27EDC"/>
    <w:rsid w:val="00D30DC0"/>
    <w:rsid w:val="00D31F24"/>
    <w:rsid w:val="00D32799"/>
    <w:rsid w:val="00D32C87"/>
    <w:rsid w:val="00D35F8C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3149"/>
    <w:rsid w:val="00DB3506"/>
    <w:rsid w:val="00DB7BCD"/>
    <w:rsid w:val="00DB7C30"/>
    <w:rsid w:val="00DB7FB8"/>
    <w:rsid w:val="00DC0165"/>
    <w:rsid w:val="00DC283A"/>
    <w:rsid w:val="00DC3E59"/>
    <w:rsid w:val="00DC6137"/>
    <w:rsid w:val="00DC6A47"/>
    <w:rsid w:val="00DC7187"/>
    <w:rsid w:val="00DC7ABC"/>
    <w:rsid w:val="00DD0374"/>
    <w:rsid w:val="00DD0A98"/>
    <w:rsid w:val="00DD23C0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73D3"/>
    <w:rsid w:val="00E07A13"/>
    <w:rsid w:val="00E104F2"/>
    <w:rsid w:val="00E1077A"/>
    <w:rsid w:val="00E10ADC"/>
    <w:rsid w:val="00E12EA0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24FE"/>
    <w:rsid w:val="00E328B5"/>
    <w:rsid w:val="00E3429F"/>
    <w:rsid w:val="00E36411"/>
    <w:rsid w:val="00E36E75"/>
    <w:rsid w:val="00E4059A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A14ED"/>
    <w:rsid w:val="00EA2BC1"/>
    <w:rsid w:val="00EA2E63"/>
    <w:rsid w:val="00EA34F9"/>
    <w:rsid w:val="00EA5900"/>
    <w:rsid w:val="00EA6E8C"/>
    <w:rsid w:val="00EA7C7A"/>
    <w:rsid w:val="00EB0253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5AFF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6C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45"/>
    <w:rsid w:val="00F410F4"/>
    <w:rsid w:val="00F42345"/>
    <w:rsid w:val="00F42718"/>
    <w:rsid w:val="00F427B4"/>
    <w:rsid w:val="00F42DC4"/>
    <w:rsid w:val="00F454A0"/>
    <w:rsid w:val="00F4640F"/>
    <w:rsid w:val="00F5021F"/>
    <w:rsid w:val="00F546F1"/>
    <w:rsid w:val="00F54718"/>
    <w:rsid w:val="00F54CF2"/>
    <w:rsid w:val="00F57560"/>
    <w:rsid w:val="00F576BC"/>
    <w:rsid w:val="00F61922"/>
    <w:rsid w:val="00F6204B"/>
    <w:rsid w:val="00F64366"/>
    <w:rsid w:val="00F737DE"/>
    <w:rsid w:val="00F74860"/>
    <w:rsid w:val="00F74B22"/>
    <w:rsid w:val="00F7608C"/>
    <w:rsid w:val="00F766DD"/>
    <w:rsid w:val="00F7685F"/>
    <w:rsid w:val="00F76883"/>
    <w:rsid w:val="00F80363"/>
    <w:rsid w:val="00F90899"/>
    <w:rsid w:val="00F93435"/>
    <w:rsid w:val="00F94B4F"/>
    <w:rsid w:val="00FA1DCD"/>
    <w:rsid w:val="00FA314D"/>
    <w:rsid w:val="00FA35A5"/>
    <w:rsid w:val="00FA39CF"/>
    <w:rsid w:val="00FA3AC2"/>
    <w:rsid w:val="00FA54BC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9E5"/>
    <w:rsid w:val="00FD6DD1"/>
    <w:rsid w:val="00FD774A"/>
    <w:rsid w:val="00FE095F"/>
    <w:rsid w:val="00FE3A92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поступления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физическихлиц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64.900000000000006</c:v>
                </c:pt>
                <c:pt idx="1">
                  <c:v>0.8</c:v>
                </c:pt>
                <c:pt idx="2">
                  <c:v>15.8</c:v>
                </c:pt>
                <c:pt idx="3">
                  <c:v>14.1</c:v>
                </c:pt>
                <c:pt idx="4">
                  <c:v>4.4000000000000004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Доходы, получаемые в виде арендной платы за земельные участки</c:v>
                </c:pt>
                <c:pt idx="1">
                  <c:v>Доходы от сдачи в аренду имиущества</c:v>
                </c:pt>
                <c:pt idx="2">
                  <c:v>Доходы от оказания платных услуг</c:v>
                </c:pt>
                <c:pt idx="3">
                  <c:v>Доходы от продажи материальных и нематериальных активов</c:v>
                </c:pt>
                <c:pt idx="4">
                  <c:v>Штрафы, санкции, возмещение ущерба</c:v>
                </c:pt>
                <c:pt idx="5">
                  <c:v>Доходы получаемые в виде арендной платы  за земли после разграничения</c:v>
                </c:pt>
                <c:pt idx="6">
                  <c:v>Доходы от перечисления части прибыли</c:v>
                </c:pt>
                <c:pt idx="7">
                  <c:v>Прочие неналоговые доходы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26.3</c:v>
                </c:pt>
                <c:pt idx="1">
                  <c:v>6.4</c:v>
                </c:pt>
                <c:pt idx="2">
                  <c:v>38.799999999999997</c:v>
                </c:pt>
                <c:pt idx="3">
                  <c:v>23.2</c:v>
                </c:pt>
                <c:pt idx="4">
                  <c:v>3.1</c:v>
                </c:pt>
                <c:pt idx="5">
                  <c:v>0.2</c:v>
                </c:pt>
                <c:pt idx="6">
                  <c:v>0.2</c:v>
                </c:pt>
                <c:pt idx="7">
                  <c:v>1.8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Дотации бюджетам городских поселений</c:v>
                </c:pt>
                <c:pt idx="1">
                  <c:v>Субсидии  бюджетам городских поселений</c:v>
                </c:pt>
                <c:pt idx="2">
                  <c:v>Прочие субсидии</c:v>
                </c:pt>
                <c:pt idx="3">
                  <c:v>Иные межбюджетные трансферты</c:v>
                </c:pt>
                <c:pt idx="4">
                  <c:v>Безвозмездные поступления от негосударственных организаций</c:v>
                </c:pt>
                <c:pt idx="5">
                  <c:v>возврат остатков субсидий, субвенций и иных межбюджетных трансфертов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2.4</c:v>
                </c:pt>
                <c:pt idx="1">
                  <c:v>12.4</c:v>
                </c:pt>
                <c:pt idx="2">
                  <c:v>1.2</c:v>
                </c:pt>
                <c:pt idx="3">
                  <c:v>86.4</c:v>
                </c:pt>
                <c:pt idx="4">
                  <c:v>0.1</c:v>
                </c:pt>
                <c:pt idx="5">
                  <c:v>-2.5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B4D6-26D4-4040-81CC-D822C889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16</Pages>
  <Words>4989</Words>
  <Characters>28438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61</cp:revision>
  <cp:lastPrinted>2022-02-24T02:36:00Z</cp:lastPrinted>
  <dcterms:created xsi:type="dcterms:W3CDTF">2024-04-10T09:55:00Z</dcterms:created>
  <dcterms:modified xsi:type="dcterms:W3CDTF">2025-04-01T01:24:00Z</dcterms:modified>
</cp:coreProperties>
</file>